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231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17650" cy="1236345"/>
            <wp:effectExtent l="0" t="0" r="6350" b="1333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678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ind w:left="0" w:firstLine="0"/>
        <w:rPr>
          <w:rFonts w:ascii="Times New Roman"/>
          <w:sz w:val="20"/>
        </w:rPr>
      </w:pPr>
    </w:p>
    <w:p>
      <w:pPr>
        <w:pStyle w:val="3"/>
        <w:ind w:left="0" w:firstLine="0"/>
        <w:rPr>
          <w:rFonts w:ascii="Times New Roman"/>
          <w:sz w:val="20"/>
        </w:rPr>
      </w:pPr>
    </w:p>
    <w:p>
      <w:pPr>
        <w:pStyle w:val="3"/>
        <w:ind w:left="0" w:firstLine="0"/>
        <w:rPr>
          <w:rFonts w:ascii="Times New Roman"/>
          <w:sz w:val="20"/>
        </w:rPr>
      </w:pPr>
    </w:p>
    <w:p>
      <w:pPr>
        <w:pStyle w:val="3"/>
        <w:ind w:left="0" w:firstLine="0"/>
        <w:rPr>
          <w:rFonts w:ascii="Times New Roman"/>
          <w:sz w:val="20"/>
        </w:rPr>
      </w:pPr>
    </w:p>
    <w:p>
      <w:pPr>
        <w:pStyle w:val="3"/>
        <w:ind w:left="0" w:firstLine="0"/>
        <w:rPr>
          <w:rFonts w:ascii="Times New Roman"/>
          <w:sz w:val="20"/>
        </w:rPr>
      </w:pPr>
    </w:p>
    <w:p>
      <w:pPr>
        <w:pStyle w:val="3"/>
        <w:spacing w:before="2"/>
        <w:ind w:left="0" w:firstLine="0"/>
        <w:rPr>
          <w:rFonts w:ascii="Times New Roman"/>
          <w:sz w:val="22"/>
        </w:rPr>
      </w:pPr>
    </w:p>
    <w:p>
      <w:pPr>
        <w:spacing w:before="38"/>
        <w:ind w:left="0" w:right="28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河北省第一届职业技能大赛</w:t>
      </w:r>
    </w:p>
    <w:p>
      <w:pPr>
        <w:spacing w:before="38"/>
        <w:ind w:left="0" w:right="28" w:firstLine="0"/>
        <w:jc w:val="center"/>
        <w:rPr>
          <w:rFonts w:hint="default" w:ascii="宋体" w:eastAsia="宋体"/>
          <w:b/>
          <w:sz w:val="44"/>
          <w:lang w:val="en-US" w:eastAsia="zh-CN"/>
        </w:rPr>
      </w:pPr>
      <w:r>
        <w:rPr>
          <w:rFonts w:hint="eastAsia" w:ascii="宋体" w:eastAsia="宋体"/>
          <w:b/>
          <w:sz w:val="44"/>
          <w:lang w:val="en-US" w:eastAsia="zh-CN"/>
        </w:rPr>
        <w:t>沧州市选拔赛</w:t>
      </w:r>
    </w:p>
    <w:p>
      <w:pPr>
        <w:spacing w:before="233"/>
        <w:ind w:left="0" w:right="28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数字化设计与制造项目技术工作文件</w:t>
      </w: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ind w:left="0" w:firstLine="0"/>
        <w:rPr>
          <w:rFonts w:ascii="宋体"/>
          <w:b/>
          <w:sz w:val="44"/>
        </w:rPr>
      </w:pPr>
    </w:p>
    <w:p>
      <w:pPr>
        <w:pStyle w:val="3"/>
        <w:spacing w:before="6"/>
        <w:ind w:left="0" w:firstLine="0"/>
        <w:rPr>
          <w:rFonts w:ascii="宋体"/>
          <w:b/>
          <w:sz w:val="31"/>
        </w:rPr>
      </w:pPr>
    </w:p>
    <w:p>
      <w:pPr>
        <w:pStyle w:val="3"/>
        <w:spacing w:before="1" w:line="328" w:lineRule="auto"/>
        <w:ind w:left="1175" w:right="1172" w:firstLine="0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>2021年</w:t>
      </w:r>
      <w:r>
        <w:rPr>
          <w:rFonts w:hint="eastAsia" w:ascii="宋体" w:eastAsia="宋体"/>
          <w:lang w:val="en-US" w:eastAsia="zh-CN"/>
        </w:rPr>
        <w:t>7</w:t>
      </w:r>
      <w:r>
        <w:rPr>
          <w:rFonts w:hint="eastAsia" w:ascii="宋体" w:eastAsia="宋体"/>
        </w:rPr>
        <w:t>月</w:t>
      </w:r>
    </w:p>
    <w:p>
      <w:pPr>
        <w:spacing w:after="0" w:line="328" w:lineRule="auto"/>
        <w:jc w:val="center"/>
        <w:rPr>
          <w:rFonts w:hint="eastAsia" w:ascii="宋体" w:eastAsia="宋体"/>
        </w:rPr>
        <w:sectPr>
          <w:pgSz w:w="11910" w:h="16840"/>
          <w:pgMar w:top="1540" w:right="1580" w:bottom="280" w:left="1580" w:header="720" w:footer="720" w:gutter="0"/>
          <w:cols w:space="720" w:num="1"/>
        </w:sectPr>
      </w:pPr>
    </w:p>
    <w:p>
      <w:pPr>
        <w:pStyle w:val="3"/>
        <w:spacing w:before="29"/>
        <w:ind w:left="863" w:firstLine="0"/>
        <w:rPr>
          <w:rFonts w:hint="eastAsia" w:ascii="黑体" w:eastAsia="黑体"/>
        </w:rPr>
      </w:pPr>
      <w:r>
        <w:rPr>
          <w:rFonts w:hint="eastAsia" w:ascii="黑体" w:eastAsia="黑体"/>
        </w:rPr>
        <w:t>一、技术描述</w:t>
      </w:r>
    </w:p>
    <w:p>
      <w:pPr>
        <w:pStyle w:val="2"/>
        <w:spacing w:before="15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（一）项目概要</w:t>
      </w:r>
    </w:p>
    <w:p>
      <w:pPr>
        <w:pStyle w:val="3"/>
        <w:spacing w:before="149" w:line="328" w:lineRule="auto"/>
        <w:ind w:right="221"/>
        <w:jc w:val="both"/>
      </w:pPr>
      <w:r>
        <w:rPr>
          <w:spacing w:val="13"/>
          <w:w w:val="95"/>
        </w:rPr>
        <w:t xml:space="preserve">数字化设计与制造项目是指运用软件完成产品正向和 </w:t>
      </w:r>
      <w:r>
        <w:rPr>
          <w:spacing w:val="12"/>
          <w:w w:val="95"/>
        </w:rPr>
        <w:t>逆向设计，利用数控机床和</w:t>
      </w:r>
      <w:r>
        <w:rPr>
          <w:spacing w:val="7"/>
          <w:w w:val="95"/>
        </w:rPr>
        <w:t>3D</w:t>
      </w:r>
      <w:r>
        <w:rPr>
          <w:spacing w:val="11"/>
          <w:w w:val="95"/>
        </w:rPr>
        <w:t xml:space="preserve">打印机加工出产品，并进行 </w:t>
      </w:r>
      <w:r>
        <w:rPr>
          <w:spacing w:val="24"/>
          <w:w w:val="95"/>
        </w:rPr>
        <w:t>装配验证的竞赛项目。比赛中对选手的技能要求主要包</w:t>
      </w:r>
      <w:r>
        <w:rPr>
          <w:spacing w:val="11"/>
          <w:w w:val="95"/>
        </w:rPr>
        <w:t xml:space="preserve">括：产品扫描、逆向设计、正向设计、工艺制定、数控程 </w:t>
      </w:r>
      <w:r>
        <w:rPr>
          <w:spacing w:val="12"/>
          <w:w w:val="95"/>
        </w:rPr>
        <w:t>序编程、</w:t>
      </w:r>
      <w:r>
        <w:rPr>
          <w:spacing w:val="7"/>
          <w:w w:val="95"/>
        </w:rPr>
        <w:t>3D</w:t>
      </w:r>
      <w:r>
        <w:rPr>
          <w:spacing w:val="12"/>
          <w:w w:val="95"/>
        </w:rPr>
        <w:t>打印切片处理、五轴数控加工、</w:t>
      </w:r>
      <w:r>
        <w:rPr>
          <w:spacing w:val="5"/>
          <w:w w:val="95"/>
        </w:rPr>
        <w:t>3D</w:t>
      </w:r>
      <w:r>
        <w:rPr>
          <w:spacing w:val="9"/>
          <w:w w:val="95"/>
        </w:rPr>
        <w:t>打印、产品</w:t>
      </w:r>
      <w:r>
        <w:rPr>
          <w:spacing w:val="9"/>
        </w:rPr>
        <w:t>测量等。</w:t>
      </w:r>
    </w:p>
    <w:p>
      <w:pPr>
        <w:pStyle w:val="2"/>
        <w:numPr>
          <w:ilvl w:val="0"/>
          <w:numId w:val="1"/>
        </w:numPr>
        <w:spacing w:before="150"/>
        <w:ind w:left="440" w:leftChars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基本知识与能力要求</w:t>
      </w:r>
    </w:p>
    <w:tbl>
      <w:tblPr>
        <w:tblStyle w:val="6"/>
        <w:tblpPr w:leftFromText="180" w:rightFromText="180" w:vertAnchor="text" w:horzAnchor="page" w:tblpX="1961" w:tblpY="427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4800"/>
        <w:gridCol w:w="1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6324" w:type="dxa"/>
            <w:gridSpan w:val="2"/>
          </w:tcPr>
          <w:p>
            <w:pPr>
              <w:pStyle w:val="8"/>
              <w:spacing w:before="62"/>
              <w:ind w:left="2720" w:right="2709"/>
              <w:rPr>
                <w:b/>
                <w:sz w:val="21"/>
              </w:rPr>
            </w:pPr>
            <w:r>
              <w:rPr>
                <w:b/>
                <w:sz w:val="21"/>
              </w:rPr>
              <w:t>相关要求</w:t>
            </w:r>
          </w:p>
        </w:tc>
        <w:tc>
          <w:tcPr>
            <w:tcW w:w="1689" w:type="dxa"/>
          </w:tcPr>
          <w:p>
            <w:pPr>
              <w:pStyle w:val="8"/>
              <w:spacing w:before="64"/>
              <w:ind w:left="261" w:right="249"/>
              <w:rPr>
                <w:rFonts w:ascii="Calibri" w:eastAsia="Calibri"/>
                <w:b/>
                <w:sz w:val="21"/>
              </w:rPr>
            </w:pPr>
            <w:r>
              <w:rPr>
                <w:b/>
                <w:sz w:val="21"/>
              </w:rPr>
              <w:t>权重比例</w:t>
            </w:r>
            <w:r>
              <w:rPr>
                <w:rFonts w:ascii="Calibri" w:eastAsia="Calibri"/>
                <w:b/>
                <w:sz w:val="21"/>
              </w:rPr>
              <w:t>(%)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24" w:type="dxa"/>
          </w:tcPr>
          <w:p>
            <w:pPr>
              <w:pStyle w:val="8"/>
              <w:spacing w:before="70"/>
              <w:ind w:left="7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97"/>
                <w:sz w:val="21"/>
              </w:rPr>
              <w:t>1</w:t>
            </w:r>
          </w:p>
        </w:tc>
        <w:tc>
          <w:tcPr>
            <w:tcW w:w="4800" w:type="dxa"/>
          </w:tcPr>
          <w:p>
            <w:pPr>
              <w:pStyle w:val="8"/>
              <w:spacing w:before="63"/>
              <w:ind w:left="5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三维数据采集</w:t>
            </w:r>
          </w:p>
        </w:tc>
        <w:tc>
          <w:tcPr>
            <w:tcW w:w="1689" w:type="dxa"/>
            <w:vMerge w:val="restart"/>
          </w:tcPr>
          <w:p>
            <w:pPr>
              <w:pStyle w:val="8"/>
              <w:ind w:right="249"/>
              <w:jc w:val="center"/>
              <w:rPr>
                <w:rFonts w:hint="eastAsia" w:ascii="Calibri"/>
                <w:b/>
                <w:sz w:val="21"/>
                <w:lang w:val="en-US" w:eastAsia="zh-CN"/>
              </w:rPr>
            </w:pPr>
          </w:p>
          <w:p>
            <w:pPr>
              <w:pStyle w:val="8"/>
              <w:ind w:right="249"/>
              <w:jc w:val="center"/>
              <w:rPr>
                <w:rFonts w:hint="eastAsia" w:ascii="Calibri"/>
                <w:b/>
                <w:sz w:val="21"/>
                <w:lang w:val="en-US" w:eastAsia="zh-CN"/>
              </w:rPr>
            </w:pPr>
          </w:p>
          <w:p>
            <w:pPr>
              <w:pStyle w:val="8"/>
              <w:ind w:right="249"/>
              <w:jc w:val="center"/>
              <w:rPr>
                <w:rFonts w:hint="default" w:ascii="Calibri" w:eastAsia="宋体"/>
                <w:b/>
                <w:sz w:val="21"/>
                <w:lang w:val="en-US" w:eastAsia="zh-CN"/>
              </w:rPr>
            </w:pPr>
            <w:r>
              <w:rPr>
                <w:rFonts w:hint="eastAsia" w:ascii="Calibri"/>
                <w:b/>
                <w:sz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524" w:type="dxa"/>
          </w:tcPr>
          <w:p>
            <w:pPr>
              <w:pStyle w:val="8"/>
              <w:spacing w:before="3"/>
              <w:jc w:val="left"/>
              <w:rPr>
                <w:rFonts w:ascii="楷体"/>
                <w:b/>
                <w:sz w:val="21"/>
              </w:rPr>
            </w:pPr>
          </w:p>
          <w:p>
            <w:pPr>
              <w:pStyle w:val="8"/>
              <w:ind w:left="320" w:right="314"/>
              <w:rPr>
                <w:sz w:val="21"/>
              </w:rPr>
            </w:pPr>
            <w:r>
              <w:rPr>
                <w:sz w:val="21"/>
              </w:rPr>
              <w:t>基本知识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95"/>
                <w:sz w:val="21"/>
              </w:rPr>
              <w:t>—</w:t>
            </w:r>
            <w:r>
              <w:rPr>
                <w:w w:val="95"/>
                <w:sz w:val="21"/>
              </w:rPr>
              <w:t>扫描仪原理</w:t>
            </w:r>
          </w:p>
          <w:p>
            <w:pPr>
              <w:pStyle w:val="8"/>
              <w:spacing w:before="5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95"/>
                <w:sz w:val="21"/>
              </w:rPr>
              <w:t>—</w:t>
            </w:r>
            <w:r>
              <w:rPr>
                <w:w w:val="95"/>
                <w:sz w:val="21"/>
              </w:rPr>
              <w:t>扫描仪操作</w:t>
            </w:r>
          </w:p>
          <w:p>
            <w:pPr>
              <w:pStyle w:val="8"/>
              <w:spacing w:before="2" w:line="251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扫描数据处理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7"/>
              <w:ind w:left="320" w:right="314"/>
              <w:rPr>
                <w:sz w:val="21"/>
              </w:rPr>
            </w:pPr>
            <w:r>
              <w:rPr>
                <w:sz w:val="21"/>
              </w:rPr>
              <w:t>工作能力</w:t>
            </w:r>
          </w:p>
        </w:tc>
        <w:tc>
          <w:tcPr>
            <w:tcW w:w="4800" w:type="dxa"/>
          </w:tcPr>
          <w:p>
            <w:pPr>
              <w:pStyle w:val="8"/>
              <w:spacing w:before="2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sz w:val="21"/>
              </w:rPr>
              <w:t>—</w:t>
            </w:r>
            <w:r>
              <w:rPr>
                <w:sz w:val="21"/>
              </w:rPr>
              <w:t>扫描仪合理操作</w:t>
            </w:r>
          </w:p>
          <w:p>
            <w:pPr>
              <w:pStyle w:val="8"/>
              <w:spacing w:before="2" w:line="251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sz w:val="21"/>
              </w:rPr>
              <w:t>—</w:t>
            </w:r>
            <w:r>
              <w:rPr>
                <w:sz w:val="21"/>
              </w:rPr>
              <w:t>扫描数据处理与优化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524" w:type="dxa"/>
          </w:tcPr>
          <w:p>
            <w:pPr>
              <w:pStyle w:val="8"/>
              <w:spacing w:before="69"/>
              <w:ind w:left="7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97"/>
                <w:sz w:val="21"/>
              </w:rPr>
              <w:t>2</w:t>
            </w:r>
          </w:p>
        </w:tc>
        <w:tc>
          <w:tcPr>
            <w:tcW w:w="4800" w:type="dxa"/>
          </w:tcPr>
          <w:p>
            <w:pPr>
              <w:pStyle w:val="8"/>
              <w:spacing w:before="62"/>
              <w:ind w:left="5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逆向与正向创新设计</w:t>
            </w:r>
          </w:p>
        </w:tc>
        <w:tc>
          <w:tcPr>
            <w:tcW w:w="1689" w:type="dxa"/>
            <w:vMerge w:val="restart"/>
          </w:tcPr>
          <w:p>
            <w:pPr>
              <w:pStyle w:val="8"/>
              <w:ind w:right="249"/>
              <w:jc w:val="center"/>
              <w:rPr>
                <w:rFonts w:hint="eastAsia" w:ascii="Calibri"/>
                <w:b/>
                <w:w w:val="105"/>
                <w:sz w:val="21"/>
                <w:lang w:val="en-US" w:eastAsia="zh-CN"/>
              </w:rPr>
            </w:pPr>
          </w:p>
          <w:p>
            <w:pPr>
              <w:pStyle w:val="8"/>
              <w:ind w:right="249"/>
              <w:jc w:val="center"/>
              <w:rPr>
                <w:rFonts w:hint="eastAsia" w:ascii="Calibri"/>
                <w:b/>
                <w:w w:val="105"/>
                <w:sz w:val="21"/>
                <w:lang w:val="en-US" w:eastAsia="zh-CN"/>
              </w:rPr>
            </w:pPr>
          </w:p>
          <w:p>
            <w:pPr>
              <w:pStyle w:val="8"/>
              <w:ind w:right="249"/>
              <w:jc w:val="center"/>
              <w:rPr>
                <w:rFonts w:hint="default" w:ascii="Calibri" w:eastAsia="宋体"/>
                <w:b/>
                <w:sz w:val="21"/>
                <w:lang w:val="en-US" w:eastAsia="zh-CN"/>
              </w:rPr>
            </w:pPr>
            <w:r>
              <w:rPr>
                <w:rFonts w:hint="eastAsia" w:ascii="Calibri"/>
                <w:b/>
                <w:w w:val="105"/>
                <w:sz w:val="21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24" w:type="dxa"/>
          </w:tcPr>
          <w:p>
            <w:pPr>
              <w:pStyle w:val="8"/>
              <w:spacing w:before="135"/>
              <w:ind w:left="320" w:right="314"/>
              <w:rPr>
                <w:sz w:val="21"/>
              </w:rPr>
            </w:pPr>
            <w:r>
              <w:rPr>
                <w:sz w:val="21"/>
              </w:rPr>
              <w:t>基本知识</w:t>
            </w:r>
          </w:p>
        </w:tc>
        <w:tc>
          <w:tcPr>
            <w:tcW w:w="4800" w:type="dxa"/>
          </w:tcPr>
          <w:p>
            <w:pPr>
              <w:pStyle w:val="8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spacing w:val="-1"/>
                <w:w w:val="105"/>
                <w:sz w:val="21"/>
              </w:rPr>
              <w:t>—</w:t>
            </w:r>
            <w:r>
              <w:rPr>
                <w:spacing w:val="-1"/>
                <w:w w:val="105"/>
                <w:sz w:val="21"/>
              </w:rPr>
              <w:t>逆向设计基本理念及思路</w:t>
            </w:r>
          </w:p>
          <w:p>
            <w:pPr>
              <w:pStyle w:val="8"/>
              <w:spacing w:before="5" w:line="250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spacing w:val="-1"/>
                <w:w w:val="105"/>
                <w:sz w:val="21"/>
              </w:rPr>
              <w:t>—</w:t>
            </w:r>
            <w:r>
              <w:rPr>
                <w:spacing w:val="-1"/>
                <w:w w:val="105"/>
                <w:sz w:val="21"/>
              </w:rPr>
              <w:t>正向设计基本理念和设计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5"/>
              <w:ind w:left="320" w:right="314"/>
              <w:rPr>
                <w:sz w:val="21"/>
              </w:rPr>
            </w:pPr>
            <w:r>
              <w:rPr>
                <w:sz w:val="21"/>
              </w:rPr>
              <w:t>工作能力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运用逆向软件对产品进行反求和逆向</w:t>
            </w:r>
          </w:p>
          <w:p>
            <w:pPr>
              <w:pStyle w:val="8"/>
              <w:spacing w:before="4" w:line="250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根据要求合理进行正向创新设计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24" w:type="dxa"/>
          </w:tcPr>
          <w:p>
            <w:pPr>
              <w:pStyle w:val="8"/>
              <w:spacing w:before="70"/>
              <w:ind w:left="7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97"/>
                <w:sz w:val="21"/>
              </w:rPr>
              <w:t>3</w:t>
            </w:r>
          </w:p>
        </w:tc>
        <w:tc>
          <w:tcPr>
            <w:tcW w:w="4800" w:type="dxa"/>
          </w:tcPr>
          <w:p>
            <w:pPr>
              <w:pStyle w:val="8"/>
              <w:spacing w:before="63"/>
              <w:ind w:left="5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数控编程与切片处理</w:t>
            </w:r>
          </w:p>
        </w:tc>
        <w:tc>
          <w:tcPr>
            <w:tcW w:w="1689" w:type="dxa"/>
            <w:vMerge w:val="restart"/>
          </w:tcPr>
          <w:p>
            <w:pPr>
              <w:pStyle w:val="8"/>
              <w:spacing w:before="1"/>
              <w:ind w:right="249"/>
              <w:jc w:val="center"/>
              <w:rPr>
                <w:rFonts w:hint="eastAsia" w:ascii="Calibri"/>
                <w:b/>
                <w:w w:val="105"/>
                <w:sz w:val="21"/>
                <w:lang w:val="en-US" w:eastAsia="zh-CN"/>
              </w:rPr>
            </w:pPr>
          </w:p>
          <w:p>
            <w:pPr>
              <w:pStyle w:val="8"/>
              <w:spacing w:before="1"/>
              <w:ind w:right="249"/>
              <w:jc w:val="center"/>
              <w:rPr>
                <w:rFonts w:hint="eastAsia" w:ascii="Calibri"/>
                <w:b/>
                <w:w w:val="105"/>
                <w:sz w:val="21"/>
                <w:lang w:val="en-US" w:eastAsia="zh-CN"/>
              </w:rPr>
            </w:pPr>
          </w:p>
          <w:p>
            <w:pPr>
              <w:pStyle w:val="8"/>
              <w:spacing w:before="1"/>
              <w:ind w:right="249"/>
              <w:jc w:val="center"/>
              <w:rPr>
                <w:rFonts w:hint="default" w:ascii="Calibri" w:eastAsia="宋体"/>
                <w:b/>
                <w:sz w:val="21"/>
                <w:lang w:val="en-US" w:eastAsia="zh-CN"/>
              </w:rPr>
            </w:pPr>
            <w:r>
              <w:rPr>
                <w:rFonts w:hint="eastAsia" w:ascii="Calibri"/>
                <w:b/>
                <w:w w:val="105"/>
                <w:sz w:val="21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6"/>
              <w:ind w:left="320" w:right="314"/>
              <w:rPr>
                <w:sz w:val="21"/>
              </w:rPr>
            </w:pPr>
            <w:r>
              <w:rPr>
                <w:sz w:val="21"/>
              </w:rPr>
              <w:t>基本知识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数控编程原理及操作</w:t>
            </w:r>
          </w:p>
          <w:p>
            <w:pPr>
              <w:pStyle w:val="8"/>
              <w:spacing w:before="5" w:line="250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模型切片处理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24" w:type="dxa"/>
          </w:tcPr>
          <w:p>
            <w:pPr>
              <w:pStyle w:val="8"/>
              <w:spacing w:before="135"/>
              <w:ind w:left="320" w:right="314"/>
              <w:rPr>
                <w:sz w:val="21"/>
              </w:rPr>
            </w:pPr>
            <w:r>
              <w:rPr>
                <w:sz w:val="21"/>
              </w:rPr>
              <w:t>工作能力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运用软件对产品进行数控编程</w:t>
            </w:r>
          </w:p>
          <w:p>
            <w:pPr>
              <w:pStyle w:val="8"/>
              <w:spacing w:before="2" w:line="252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对切片模型合理设置参数、支撑等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24" w:type="dxa"/>
          </w:tcPr>
          <w:p>
            <w:pPr>
              <w:pStyle w:val="8"/>
              <w:spacing w:before="71"/>
              <w:ind w:left="9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99"/>
                <w:sz w:val="21"/>
              </w:rPr>
              <w:t>4</w:t>
            </w:r>
          </w:p>
        </w:tc>
        <w:tc>
          <w:tcPr>
            <w:tcW w:w="4800" w:type="dxa"/>
          </w:tcPr>
          <w:p>
            <w:pPr>
              <w:pStyle w:val="8"/>
              <w:spacing w:before="63"/>
              <w:ind w:left="5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加工和装配</w:t>
            </w:r>
          </w:p>
        </w:tc>
        <w:tc>
          <w:tcPr>
            <w:tcW w:w="1689" w:type="dxa"/>
            <w:vMerge w:val="restart"/>
          </w:tcPr>
          <w:p>
            <w:pPr>
              <w:pStyle w:val="8"/>
              <w:ind w:right="249"/>
              <w:jc w:val="center"/>
              <w:rPr>
                <w:rFonts w:ascii="Calibri"/>
                <w:b/>
                <w:w w:val="105"/>
                <w:sz w:val="21"/>
              </w:rPr>
            </w:pPr>
          </w:p>
          <w:p>
            <w:pPr>
              <w:pStyle w:val="8"/>
              <w:ind w:right="249"/>
              <w:jc w:val="center"/>
              <w:rPr>
                <w:rFonts w:ascii="Calibri"/>
                <w:b/>
                <w:w w:val="105"/>
                <w:sz w:val="21"/>
              </w:rPr>
            </w:pPr>
          </w:p>
          <w:p>
            <w:pPr>
              <w:pStyle w:val="8"/>
              <w:ind w:right="249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105"/>
                <w:sz w:val="21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6"/>
              <w:ind w:left="320" w:right="314"/>
              <w:rPr>
                <w:sz w:val="21"/>
              </w:rPr>
            </w:pPr>
            <w:r>
              <w:rPr>
                <w:sz w:val="21"/>
              </w:rPr>
              <w:t>基本知识</w:t>
            </w:r>
          </w:p>
        </w:tc>
        <w:tc>
          <w:tcPr>
            <w:tcW w:w="4800" w:type="dxa"/>
          </w:tcPr>
          <w:p>
            <w:pPr>
              <w:pStyle w:val="8"/>
              <w:spacing w:before="2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数控机床操作</w:t>
            </w:r>
          </w:p>
          <w:p>
            <w:pPr>
              <w:pStyle w:val="8"/>
              <w:spacing w:before="2" w:line="252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—3D</w:t>
            </w:r>
            <w:r>
              <w:rPr>
                <w:w w:val="110"/>
                <w:sz w:val="21"/>
              </w:rPr>
              <w:t>打印机操作与后处理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6"/>
              <w:ind w:left="320" w:right="314"/>
              <w:rPr>
                <w:sz w:val="21"/>
              </w:rPr>
            </w:pPr>
            <w:r>
              <w:rPr>
                <w:sz w:val="21"/>
              </w:rPr>
              <w:t>工作能力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刀具选用、数控机床操作、参数设置</w:t>
            </w:r>
          </w:p>
          <w:p>
            <w:pPr>
              <w:pStyle w:val="8"/>
              <w:spacing w:before="5" w:line="250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—3D</w:t>
            </w:r>
            <w:r>
              <w:rPr>
                <w:w w:val="110"/>
                <w:sz w:val="21"/>
              </w:rPr>
              <w:t>打印机操作、参数设置、模型后处理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24" w:type="dxa"/>
          </w:tcPr>
          <w:p>
            <w:pPr>
              <w:pStyle w:val="8"/>
              <w:spacing w:before="68"/>
              <w:ind w:left="9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99"/>
                <w:sz w:val="21"/>
              </w:rPr>
              <w:t>5</w:t>
            </w:r>
          </w:p>
        </w:tc>
        <w:tc>
          <w:tcPr>
            <w:tcW w:w="4800" w:type="dxa"/>
          </w:tcPr>
          <w:p>
            <w:pPr>
              <w:pStyle w:val="8"/>
              <w:spacing w:before="61"/>
              <w:ind w:left="5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职业素养与安全意识</w:t>
            </w:r>
          </w:p>
        </w:tc>
        <w:tc>
          <w:tcPr>
            <w:tcW w:w="1689" w:type="dxa"/>
            <w:vMerge w:val="restart"/>
          </w:tcPr>
          <w:p>
            <w:pPr>
              <w:pStyle w:val="8"/>
              <w:jc w:val="left"/>
              <w:rPr>
                <w:rFonts w:ascii="楷体"/>
                <w:b/>
                <w:sz w:val="20"/>
              </w:rPr>
            </w:pPr>
          </w:p>
          <w:p>
            <w:pPr>
              <w:pStyle w:val="8"/>
              <w:jc w:val="center"/>
              <w:rPr>
                <w:rFonts w:ascii="Calibri"/>
                <w:b/>
                <w:w w:val="107"/>
                <w:sz w:val="21"/>
              </w:rPr>
            </w:pPr>
          </w:p>
          <w:p>
            <w:pPr>
              <w:pStyle w:val="8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w w:val="107"/>
                <w:sz w:val="21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24" w:type="dxa"/>
          </w:tcPr>
          <w:p>
            <w:pPr>
              <w:pStyle w:val="8"/>
              <w:spacing w:before="134"/>
              <w:ind w:left="320" w:right="314"/>
              <w:rPr>
                <w:sz w:val="21"/>
              </w:rPr>
            </w:pPr>
            <w:r>
              <w:rPr>
                <w:sz w:val="21"/>
              </w:rPr>
              <w:t>基本知识</w:t>
            </w:r>
          </w:p>
        </w:tc>
        <w:tc>
          <w:tcPr>
            <w:tcW w:w="4800" w:type="dxa"/>
          </w:tcPr>
          <w:p>
            <w:pPr>
              <w:pStyle w:val="8"/>
              <w:spacing w:before="2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工具和设备正确使用</w:t>
            </w:r>
          </w:p>
          <w:p>
            <w:pPr>
              <w:pStyle w:val="8"/>
              <w:spacing w:before="2" w:line="252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—5S</w:t>
            </w:r>
            <w:r>
              <w:rPr>
                <w:w w:val="110"/>
                <w:sz w:val="21"/>
              </w:rPr>
              <w:t>管理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524" w:type="dxa"/>
          </w:tcPr>
          <w:p>
            <w:pPr>
              <w:pStyle w:val="8"/>
              <w:spacing w:before="135"/>
              <w:ind w:left="320" w:right="314"/>
              <w:rPr>
                <w:sz w:val="21"/>
              </w:rPr>
            </w:pPr>
            <w:r>
              <w:rPr>
                <w:sz w:val="21"/>
              </w:rPr>
              <w:t>工作能力</w:t>
            </w:r>
          </w:p>
        </w:tc>
        <w:tc>
          <w:tcPr>
            <w:tcW w:w="4800" w:type="dxa"/>
          </w:tcPr>
          <w:p>
            <w:pPr>
              <w:pStyle w:val="8"/>
              <w:spacing w:before="1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合理正确使用工具、机床等设备</w:t>
            </w:r>
          </w:p>
          <w:p>
            <w:pPr>
              <w:pStyle w:val="8"/>
              <w:spacing w:before="2" w:line="251" w:lineRule="exact"/>
              <w:ind w:left="5"/>
              <w:jc w:val="left"/>
              <w:rPr>
                <w:sz w:val="21"/>
              </w:rPr>
            </w:pPr>
            <w:r>
              <w:rPr>
                <w:rFonts w:ascii="Calibri" w:hAnsi="Calibri" w:eastAsia="Calibri"/>
                <w:w w:val="110"/>
                <w:sz w:val="21"/>
              </w:rPr>
              <w:t>—</w:t>
            </w:r>
            <w:r>
              <w:rPr>
                <w:w w:val="110"/>
                <w:sz w:val="21"/>
              </w:rPr>
              <w:t>保持工位干净整洁</w:t>
            </w:r>
          </w:p>
        </w:tc>
        <w:tc>
          <w:tcPr>
            <w:tcW w:w="168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24" w:type="dxa"/>
          </w:tcPr>
          <w:p>
            <w:pPr>
              <w:pStyle w:val="8"/>
              <w:spacing w:before="64"/>
              <w:ind w:left="320" w:right="309"/>
              <w:rPr>
                <w:b/>
                <w:sz w:val="21"/>
              </w:rPr>
            </w:pPr>
            <w:r>
              <w:rPr>
                <w:b/>
                <w:sz w:val="21"/>
              </w:rPr>
              <w:t>合计</w:t>
            </w:r>
          </w:p>
        </w:tc>
        <w:tc>
          <w:tcPr>
            <w:tcW w:w="4800" w:type="dxa"/>
          </w:tcPr>
          <w:p>
            <w:pPr>
              <w:pStyle w:val="8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>
            <w:pPr>
              <w:pStyle w:val="8"/>
              <w:spacing w:before="69"/>
              <w:ind w:left="256" w:right="249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sz w:val="21"/>
              </w:rPr>
              <w:t>100</w:t>
            </w:r>
          </w:p>
        </w:tc>
      </w:tr>
    </w:tbl>
    <w:p>
      <w:pPr>
        <w:numPr>
          <w:numId w:val="0"/>
        </w:numPr>
        <w:ind w:right="0" w:rightChars="0"/>
      </w:pPr>
    </w:p>
    <w:p>
      <w:pPr>
        <w:pStyle w:val="3"/>
        <w:spacing w:before="29"/>
        <w:ind w:left="863" w:firstLine="0"/>
        <w:rPr>
          <w:rFonts w:hint="eastAsia" w:ascii="黑体" w:eastAsia="黑体"/>
        </w:rPr>
      </w:pPr>
      <w:r>
        <w:rPr>
          <w:rFonts w:hint="eastAsia" w:ascii="黑体" w:eastAsia="黑体"/>
          <w:w w:val="95"/>
        </w:rPr>
        <w:t>二、试题与评判标准</w:t>
      </w:r>
    </w:p>
    <w:p>
      <w:pPr>
        <w:pStyle w:val="2"/>
        <w:spacing w:before="150"/>
      </w:pPr>
      <w:bookmarkStart w:id="0" w:name="_TOC_250006"/>
      <w:bookmarkEnd w:id="0"/>
      <w:r>
        <w:rPr>
          <w:rFonts w:hint="eastAsia" w:ascii="黑体" w:hAnsi="黑体" w:eastAsia="黑体" w:cs="黑体"/>
          <w:w w:val="95"/>
        </w:rPr>
        <w:t>（一）试题（样题）</w:t>
      </w:r>
    </w:p>
    <w:p>
      <w:pPr>
        <w:pStyle w:val="3"/>
        <w:spacing w:before="149" w:line="328" w:lineRule="auto"/>
        <w:ind w:right="221"/>
        <w:jc w:val="both"/>
        <w:rPr>
          <w:spacing w:val="24"/>
          <w:w w:val="95"/>
        </w:rPr>
      </w:pPr>
      <w:r>
        <w:rPr>
          <w:spacing w:val="24"/>
          <w:w w:val="95"/>
        </w:rPr>
        <w:t>任务 1：三维数据采集</w:t>
      </w:r>
    </w:p>
    <w:p>
      <w:pPr>
        <w:pStyle w:val="3"/>
        <w:spacing w:before="149" w:line="328" w:lineRule="auto"/>
        <w:ind w:right="221"/>
        <w:jc w:val="both"/>
        <w:rPr>
          <w:rFonts w:hint="eastAsia"/>
          <w:spacing w:val="24"/>
          <w:w w:val="95"/>
          <w:lang w:eastAsia="zh-CN"/>
        </w:rPr>
      </w:pPr>
      <w:r>
        <w:rPr>
          <w:spacing w:val="24"/>
          <w:w w:val="95"/>
        </w:rPr>
        <w:t>调整给定三维扫描设备至工作状态，并对指定的实物进行三维数据采集。需要</w:t>
      </w:r>
      <w:r>
        <w:rPr>
          <w:rFonts w:hint="eastAsia"/>
          <w:spacing w:val="24"/>
          <w:w w:val="95"/>
          <w:lang w:val="en-US" w:eastAsia="zh-CN"/>
        </w:rPr>
        <w:t>将</w:t>
      </w:r>
      <w:r>
        <w:rPr>
          <w:rFonts w:hint="eastAsia"/>
          <w:spacing w:val="24"/>
          <w:w w:val="95"/>
        </w:rPr>
        <w:t>扫描原始点云数据进行取舍、封装等处理</w:t>
      </w:r>
      <w:r>
        <w:rPr>
          <w:rFonts w:hint="eastAsia"/>
          <w:spacing w:val="24"/>
          <w:w w:val="95"/>
          <w:lang w:eastAsia="zh-CN"/>
        </w:rPr>
        <w:t>。</w:t>
      </w:r>
    </w:p>
    <w:p>
      <w:pPr>
        <w:pStyle w:val="3"/>
        <w:spacing w:before="149" w:line="328" w:lineRule="auto"/>
        <w:ind w:right="221"/>
        <w:jc w:val="both"/>
        <w:rPr>
          <w:spacing w:val="24"/>
          <w:w w:val="95"/>
        </w:rPr>
      </w:pPr>
      <w:r>
        <w:rPr>
          <w:spacing w:val="24"/>
          <w:w w:val="95"/>
        </w:rPr>
        <w:t>任务2：三维建模</w:t>
      </w:r>
    </w:p>
    <w:p>
      <w:pPr>
        <w:pStyle w:val="3"/>
        <w:spacing w:before="149" w:line="328" w:lineRule="auto"/>
        <w:ind w:right="221"/>
        <w:jc w:val="both"/>
        <w:rPr>
          <w:rFonts w:hint="eastAsia"/>
          <w:spacing w:val="24"/>
          <w:w w:val="95"/>
          <w:lang w:eastAsia="zh-CN"/>
        </w:rPr>
      </w:pPr>
      <w:r>
        <w:rPr>
          <w:spacing w:val="24"/>
          <w:w w:val="95"/>
        </w:rPr>
        <w:t>利用任务1所采集的数据，进行三维逆向建模</w:t>
      </w:r>
      <w:r>
        <w:rPr>
          <w:rFonts w:hint="eastAsia"/>
          <w:spacing w:val="24"/>
          <w:w w:val="95"/>
          <w:lang w:eastAsia="zh-CN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任务3：创新优化设计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利用给定实物和任务2所建数字化模型，按任务书给定的要求进行结构创新优化设计，生成装配工程图及零件工程图，编写创新设计方案说明书和3D打印输出文件。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  <w:lang w:val="en-US" w:eastAsia="zh-CN"/>
        </w:rPr>
      </w:pPr>
      <w:r>
        <w:rPr>
          <w:w w:val="95"/>
        </w:rPr>
        <w:t>任务4：数控</w:t>
      </w:r>
      <w:r>
        <w:rPr>
          <w:rFonts w:hint="eastAsia"/>
          <w:w w:val="95"/>
          <w:lang w:val="en-US" w:eastAsia="zh-CN"/>
        </w:rPr>
        <w:t>加工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1) 根据任务要求和提供的</w:t>
      </w:r>
      <w:r>
        <w:rPr>
          <w:rFonts w:hint="eastAsia"/>
          <w:w w:val="95"/>
          <w:lang w:val="en-US" w:eastAsia="zh-CN"/>
        </w:rPr>
        <w:t>杯套图纸</w:t>
      </w:r>
      <w:r>
        <w:rPr>
          <w:w w:val="95"/>
        </w:rPr>
        <w:t>，合理制订加工工艺；</w:t>
      </w:r>
    </w:p>
    <w:p>
      <w:pPr>
        <w:pStyle w:val="3"/>
        <w:spacing w:before="149" w:line="328" w:lineRule="auto"/>
        <w:ind w:right="221"/>
        <w:jc w:val="both"/>
        <w:rPr>
          <w:rFonts w:hint="eastAsia"/>
          <w:w w:val="95"/>
          <w:lang w:eastAsia="zh-CN"/>
        </w:rPr>
      </w:pPr>
      <w:r>
        <w:rPr>
          <w:rFonts w:hint="eastAsia"/>
          <w:w w:val="95"/>
          <w:lang w:val="en-US" w:eastAsia="zh-CN"/>
        </w:rPr>
        <w:t>2）</w:t>
      </w:r>
      <w:r>
        <w:rPr>
          <w:w w:val="95"/>
        </w:rPr>
        <w:t>根据加工工艺，使用 CAM 软件对零件进行数控编程，生成加工程序，</w:t>
      </w:r>
      <w:r>
        <w:rPr>
          <w:rFonts w:hint="eastAsia"/>
          <w:w w:val="95"/>
          <w:lang w:val="en-US" w:eastAsia="zh-CN"/>
        </w:rPr>
        <w:t>经仿真软件仿真无误后，正确操作五轴加工中心</w:t>
      </w:r>
      <w:r>
        <w:rPr>
          <w:w w:val="95"/>
        </w:rPr>
        <w:t>完成零件加工</w:t>
      </w:r>
      <w:r>
        <w:rPr>
          <w:rFonts w:hint="eastAsia"/>
          <w:w w:val="95"/>
          <w:lang w:eastAsia="zh-CN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任务5：3D 打印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rFonts w:hint="eastAsia"/>
          <w:w w:val="95"/>
          <w:lang w:val="en-US" w:eastAsia="zh-CN"/>
        </w:rPr>
        <w:t>1）利用FDM和SLA打印机</w:t>
      </w:r>
      <w:r>
        <w:rPr>
          <w:w w:val="95"/>
        </w:rPr>
        <w:t>对杯盖和过滤网进行3D打印</w:t>
      </w:r>
      <w:r>
        <w:rPr>
          <w:rFonts w:hint="eastAsia"/>
          <w:w w:val="95"/>
          <w:lang w:val="en-US" w:eastAsia="zh-CN"/>
        </w:rPr>
        <w:t>加工</w:t>
      </w:r>
      <w:r>
        <w:rPr>
          <w:w w:val="95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rFonts w:hint="eastAsia"/>
          <w:w w:val="95"/>
          <w:lang w:val="en-US" w:eastAsia="zh-CN"/>
        </w:rPr>
        <w:t>2）</w:t>
      </w:r>
      <w:r>
        <w:rPr>
          <w:w w:val="95"/>
        </w:rPr>
        <w:t>合理设置打印层厚、支撑方式等打印参数，完成零件 3D 打印；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  <w:lang w:val="en-US" w:eastAsia="zh-CN"/>
        </w:rPr>
      </w:pPr>
      <w:r>
        <w:rPr>
          <w:rFonts w:hint="eastAsia"/>
          <w:w w:val="95"/>
          <w:lang w:val="en-US" w:eastAsia="zh-CN"/>
        </w:rPr>
        <w:t>3）</w:t>
      </w:r>
      <w:r>
        <w:rPr>
          <w:w w:val="95"/>
        </w:rPr>
        <w:t>正确去除支撑和后处理</w:t>
      </w:r>
      <w:r>
        <w:rPr>
          <w:rFonts w:hint="eastAsia"/>
          <w:w w:val="95"/>
          <w:lang w:eastAsia="zh-CN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</w:t>
      </w:r>
      <w:r>
        <w:rPr>
          <w:rFonts w:hint="eastAsia"/>
          <w:w w:val="95"/>
          <w:lang w:val="en-US" w:eastAsia="zh-CN"/>
        </w:rPr>
        <w:t>6</w:t>
      </w:r>
      <w:r>
        <w:rPr>
          <w:w w:val="95"/>
        </w:rPr>
        <w:t>：装配验证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创新产品装配，验证创新设计的效果。验证创新设计的效果和零件加工质量。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</w:t>
      </w:r>
      <w:r>
        <w:rPr>
          <w:rFonts w:hint="eastAsia"/>
          <w:w w:val="95"/>
          <w:lang w:val="en-US" w:eastAsia="zh-CN"/>
        </w:rPr>
        <w:t>7</w:t>
      </w:r>
      <w:r>
        <w:rPr>
          <w:w w:val="95"/>
        </w:rPr>
        <w:t>：文明生产</w:t>
      </w:r>
    </w:p>
    <w:p>
      <w:pPr>
        <w:pStyle w:val="3"/>
        <w:spacing w:before="149" w:line="328" w:lineRule="auto"/>
        <w:ind w:right="221"/>
        <w:jc w:val="both"/>
        <w:rPr>
          <w:w w:val="95"/>
        </w:rPr>
      </w:pPr>
      <w:r>
        <w:rPr>
          <w:w w:val="95"/>
        </w:rPr>
        <w:t>选手竞赛全过程都必须熟悉所接触设备的安全操作规程，安全、合理的使用赛场设施、设备和工具，确保人身和设备安全。安全文明生产、操作规范、绿色环保、循环利用。</w:t>
      </w:r>
    </w:p>
    <w:p>
      <w:pPr>
        <w:pStyle w:val="3"/>
        <w:numPr>
          <w:numId w:val="0"/>
        </w:numPr>
        <w:spacing w:before="149" w:line="328" w:lineRule="auto"/>
        <w:ind w:left="863" w:leftChars="0" w:right="221" w:rightChars="0"/>
        <w:jc w:val="both"/>
        <w:rPr>
          <w:rFonts w:hint="eastAsia" w:ascii="黑体" w:eastAsia="黑体"/>
          <w:w w:val="95"/>
        </w:rPr>
      </w:pPr>
      <w:r>
        <w:rPr>
          <w:rFonts w:hint="eastAsia" w:ascii="黑体" w:eastAsia="黑体"/>
          <w:w w:val="95"/>
          <w:lang w:eastAsia="zh-CN"/>
        </w:rPr>
        <w:t>（</w:t>
      </w:r>
      <w:r>
        <w:rPr>
          <w:rFonts w:hint="eastAsia" w:ascii="黑体" w:eastAsia="黑体"/>
          <w:w w:val="95"/>
          <w:lang w:val="en-US" w:eastAsia="zh-CN"/>
        </w:rPr>
        <w:t>二）</w:t>
      </w:r>
      <w:r>
        <w:rPr>
          <w:rFonts w:hint="eastAsia" w:ascii="黑体" w:eastAsia="黑体"/>
          <w:w w:val="95"/>
        </w:rPr>
        <w:t>比赛时间</w:t>
      </w:r>
    </w:p>
    <w:p>
      <w:pPr>
        <w:pStyle w:val="3"/>
        <w:spacing w:before="149" w:line="328" w:lineRule="auto"/>
        <w:ind w:right="221"/>
        <w:jc w:val="both"/>
        <w:rPr>
          <w:rFonts w:hint="eastAsia"/>
          <w:w w:val="95"/>
          <w:lang w:val="en-US" w:eastAsia="zh-CN"/>
        </w:rPr>
      </w:pPr>
      <w:r>
        <w:rPr>
          <w:rFonts w:hint="eastAsia"/>
          <w:w w:val="95"/>
          <w:lang w:val="en-US" w:eastAsia="zh-CN"/>
        </w:rPr>
        <w:t>比赛时间共4.5小时。</w:t>
      </w:r>
    </w:p>
    <w:p>
      <w:pPr>
        <w:pStyle w:val="9"/>
        <w:numPr>
          <w:numId w:val="0"/>
        </w:numPr>
        <w:tabs>
          <w:tab w:val="left" w:pos="1185"/>
        </w:tabs>
        <w:spacing w:before="29" w:after="0" w:line="240" w:lineRule="auto"/>
        <w:ind w:left="862" w:leftChars="0" w:right="0" w:rightChars="0"/>
        <w:jc w:val="left"/>
        <w:rPr>
          <w:sz w:val="32"/>
        </w:rPr>
      </w:pPr>
      <w:r>
        <w:rPr>
          <w:rFonts w:hint="eastAsia" w:ascii="黑体" w:hAnsi="仿宋" w:eastAsia="黑体" w:cs="仿宋"/>
          <w:w w:val="95"/>
          <w:sz w:val="32"/>
          <w:szCs w:val="32"/>
          <w:lang w:val="zh-CN" w:eastAsia="zh-CN" w:bidi="zh-CN"/>
        </w:rPr>
        <w:t>（</w:t>
      </w:r>
      <w:r>
        <w:rPr>
          <w:rFonts w:hint="eastAsia" w:ascii="黑体" w:hAnsi="仿宋" w:eastAsia="黑体" w:cs="仿宋"/>
          <w:w w:val="95"/>
          <w:sz w:val="32"/>
          <w:szCs w:val="32"/>
          <w:lang w:val="en-US" w:eastAsia="zh-CN" w:bidi="zh-CN"/>
        </w:rPr>
        <w:t>三）</w:t>
      </w:r>
      <w:r>
        <w:rPr>
          <w:rFonts w:hint="eastAsia" w:ascii="黑体" w:hAnsi="仿宋" w:eastAsia="黑体" w:cs="仿宋"/>
          <w:w w:val="95"/>
          <w:sz w:val="32"/>
          <w:szCs w:val="32"/>
          <w:lang w:val="zh-CN" w:eastAsia="zh-CN" w:bidi="zh-CN"/>
        </w:rPr>
        <w:t>评判方法</w:t>
      </w:r>
    </w:p>
    <w:p>
      <w:pPr>
        <w:pStyle w:val="3"/>
        <w:spacing w:before="150" w:line="328" w:lineRule="auto"/>
        <w:ind w:right="221"/>
        <w:jc w:val="both"/>
      </w:pPr>
      <w:r>
        <w:rPr>
          <w:spacing w:val="27"/>
          <w:w w:val="95"/>
        </w:rPr>
        <w:t xml:space="preserve">本赛项的成绩评定是以结果评分为主、过程评分为 </w:t>
      </w:r>
      <w:r>
        <w:rPr>
          <w:spacing w:val="11"/>
          <w:w w:val="95"/>
        </w:rPr>
        <w:t>辅。在由裁判长组织裁判员进行评分，如果出现裁判员评分差异过大时，则去掉最低分和最高分，再进行分值计</w:t>
      </w:r>
      <w:r>
        <w:rPr>
          <w:spacing w:val="11"/>
        </w:rPr>
        <w:t>算。</w:t>
      </w:r>
    </w:p>
    <w:p>
      <w:pPr>
        <w:pStyle w:val="9"/>
        <w:numPr>
          <w:ilvl w:val="0"/>
          <w:numId w:val="2"/>
        </w:numPr>
        <w:tabs>
          <w:tab w:val="left" w:pos="1664"/>
        </w:tabs>
        <w:spacing w:before="0" w:after="0" w:line="402" w:lineRule="exact"/>
        <w:ind w:left="1663" w:right="0" w:hanging="801"/>
        <w:jc w:val="left"/>
        <w:rPr>
          <w:sz w:val="32"/>
        </w:rPr>
      </w:pPr>
      <w:r>
        <w:rPr>
          <w:sz w:val="32"/>
        </w:rPr>
        <w:t>结果评分</w:t>
      </w:r>
    </w:p>
    <w:p>
      <w:pPr>
        <w:pStyle w:val="3"/>
        <w:spacing w:before="151" w:line="326" w:lineRule="auto"/>
        <w:ind w:right="221"/>
        <w:jc w:val="both"/>
      </w:pPr>
      <w:r>
        <w:rPr>
          <w:spacing w:val="14"/>
          <w:w w:val="95"/>
        </w:rPr>
        <w:t>结果评分内容——数据结果（</w:t>
      </w:r>
      <w:r>
        <w:rPr>
          <w:spacing w:val="12"/>
          <w:w w:val="95"/>
        </w:rPr>
        <w:t xml:space="preserve">扫描数据精度、逆向精 </w:t>
      </w:r>
      <w:r>
        <w:rPr>
          <w:spacing w:val="27"/>
        </w:rPr>
        <w:t>度等</w:t>
      </w:r>
      <w:r>
        <w:t>）</w:t>
      </w:r>
      <w:r>
        <w:rPr>
          <w:spacing w:val="5"/>
        </w:rPr>
        <w:t xml:space="preserve"> 和正向创新效果， 依据现场操作结果和赛卷记录</w:t>
      </w:r>
      <w:r>
        <w:t>表，参照评分标准，裁判核算各个比赛模块的分数。</w:t>
      </w:r>
    </w:p>
    <w:p>
      <w:pPr>
        <w:pStyle w:val="9"/>
        <w:numPr>
          <w:ilvl w:val="0"/>
          <w:numId w:val="2"/>
        </w:numPr>
        <w:tabs>
          <w:tab w:val="left" w:pos="1664"/>
        </w:tabs>
        <w:spacing w:before="8" w:after="0" w:line="240" w:lineRule="auto"/>
        <w:ind w:left="1663" w:right="0" w:hanging="801"/>
        <w:jc w:val="left"/>
        <w:rPr>
          <w:sz w:val="32"/>
        </w:rPr>
      </w:pPr>
      <w:r>
        <w:rPr>
          <w:sz w:val="32"/>
        </w:rPr>
        <w:t>过程评分</w:t>
      </w:r>
    </w:p>
    <w:p>
      <w:pPr>
        <w:pStyle w:val="3"/>
        <w:spacing w:before="149" w:line="328" w:lineRule="auto"/>
        <w:ind w:right="221"/>
        <w:jc w:val="both"/>
      </w:pPr>
      <w:r>
        <w:rPr>
          <w:spacing w:val="14"/>
        </w:rPr>
        <w:t>过程评分—— 以主观过程判断为辅</w:t>
      </w:r>
      <w:r>
        <w:t>（</w:t>
      </w:r>
      <w:r>
        <w:rPr>
          <w:spacing w:val="-1"/>
        </w:rPr>
        <w:t xml:space="preserve"> 加工工艺合理</w:t>
      </w:r>
      <w:r>
        <w:rPr>
          <w:spacing w:val="12"/>
          <w:w w:val="95"/>
        </w:rPr>
        <w:t>度、扫描仪设备使用、量具使用及测量方法）</w:t>
      </w:r>
      <w:r>
        <w:rPr>
          <w:spacing w:val="10"/>
          <w:w w:val="95"/>
        </w:rPr>
        <w:t>的评判，依</w:t>
      </w:r>
      <w:r>
        <w:rPr>
          <w:spacing w:val="11"/>
          <w:w w:val="95"/>
        </w:rPr>
        <w:t>据现场操作结果和赛卷记录表，参照评分标准，裁判核算</w:t>
      </w:r>
      <w:r>
        <w:rPr>
          <w:spacing w:val="11"/>
        </w:rPr>
        <w:t>各个比赛模块的分数。</w:t>
      </w:r>
    </w:p>
    <w:p>
      <w:pPr>
        <w:pStyle w:val="3"/>
        <w:spacing w:line="402" w:lineRule="exact"/>
        <w:ind w:left="863" w:firstLine="0"/>
      </w:pPr>
      <w:r>
        <w:t>选手有下列情形，需从参赛成绩中扣分：</w:t>
      </w:r>
    </w:p>
    <w:p>
      <w:pPr>
        <w:pStyle w:val="9"/>
        <w:numPr>
          <w:numId w:val="0"/>
        </w:numPr>
        <w:tabs>
          <w:tab w:val="left" w:pos="1725"/>
        </w:tabs>
        <w:spacing w:before="151" w:after="0" w:line="326" w:lineRule="auto"/>
        <w:ind w:left="862" w:leftChars="0" w:right="224" w:rightChars="0"/>
        <w:jc w:val="left"/>
        <w:rPr>
          <w:sz w:val="32"/>
        </w:rPr>
      </w:pPr>
      <w:r>
        <w:rPr>
          <w:rFonts w:hint="eastAsia"/>
          <w:spacing w:val="19"/>
          <w:w w:val="95"/>
          <w:sz w:val="32"/>
          <w:lang w:val="en-US" w:eastAsia="zh-CN"/>
        </w:rPr>
        <w:t>1.</w:t>
      </w:r>
      <w:r>
        <w:rPr>
          <w:spacing w:val="19"/>
          <w:w w:val="95"/>
          <w:sz w:val="32"/>
        </w:rPr>
        <w:t>在完成工作任务的过程中，因操作不当导致事</w:t>
      </w:r>
      <w:r>
        <w:rPr>
          <w:spacing w:val="19"/>
          <w:sz w:val="32"/>
        </w:rPr>
        <w:t>故，扣10～20分，情况严重者取消比赛资格。</w:t>
      </w:r>
    </w:p>
    <w:p>
      <w:pPr>
        <w:pStyle w:val="9"/>
        <w:numPr>
          <w:numId w:val="0"/>
        </w:numPr>
        <w:tabs>
          <w:tab w:val="left" w:pos="1682"/>
        </w:tabs>
        <w:spacing w:before="4" w:after="0" w:line="328" w:lineRule="auto"/>
        <w:ind w:left="862" w:leftChars="0" w:right="223" w:rightChars="0"/>
        <w:jc w:val="left"/>
        <w:rPr>
          <w:sz w:val="32"/>
        </w:rPr>
      </w:pPr>
      <w:r>
        <w:rPr>
          <w:rFonts w:hint="eastAsia"/>
          <w:spacing w:val="5"/>
          <w:w w:val="95"/>
          <w:sz w:val="32"/>
          <w:lang w:val="en-US" w:eastAsia="zh-CN"/>
        </w:rPr>
        <w:t>2.</w:t>
      </w:r>
      <w:r>
        <w:rPr>
          <w:spacing w:val="5"/>
          <w:w w:val="95"/>
          <w:sz w:val="32"/>
        </w:rPr>
        <w:t xml:space="preserve">因违规操作损坏赛场提供的设备，污染赛场环境 </w:t>
      </w:r>
      <w:r>
        <w:rPr>
          <w:spacing w:val="5"/>
          <w:sz w:val="32"/>
        </w:rPr>
        <w:t>等不符合职业规范的行为，视情节扣1～5分。</w:t>
      </w:r>
    </w:p>
    <w:p>
      <w:pPr>
        <w:pStyle w:val="9"/>
        <w:numPr>
          <w:numId w:val="0"/>
        </w:numPr>
        <w:tabs>
          <w:tab w:val="left" w:pos="1682"/>
        </w:tabs>
        <w:spacing w:before="0" w:after="0" w:line="326" w:lineRule="auto"/>
        <w:ind w:left="862" w:leftChars="0" w:right="220" w:rightChars="0"/>
        <w:jc w:val="left"/>
        <w:rPr>
          <w:sz w:val="32"/>
        </w:rPr>
      </w:pPr>
      <w:r>
        <w:rPr>
          <w:rFonts w:hint="eastAsia"/>
          <w:spacing w:val="5"/>
          <w:w w:val="95"/>
          <w:sz w:val="32"/>
          <w:lang w:val="en-US" w:eastAsia="zh-CN"/>
        </w:rPr>
        <w:t>3.</w:t>
      </w:r>
      <w:r>
        <w:rPr>
          <w:spacing w:val="5"/>
          <w:w w:val="95"/>
          <w:sz w:val="32"/>
        </w:rPr>
        <w:t>扰乱赛场秩序，干扰裁判员工作，视情节扣</w:t>
      </w:r>
      <w:r>
        <w:rPr>
          <w:spacing w:val="4"/>
          <w:w w:val="95"/>
          <w:sz w:val="32"/>
        </w:rPr>
        <w:t xml:space="preserve">1～5 </w:t>
      </w:r>
      <w:r>
        <w:rPr>
          <w:sz w:val="32"/>
        </w:rPr>
        <w:t>分，情况严重者取消比赛资格。</w:t>
      </w:r>
    </w:p>
    <w:p>
      <w:pPr>
        <w:pStyle w:val="9"/>
        <w:numPr>
          <w:numId w:val="0"/>
        </w:numPr>
        <w:tabs>
          <w:tab w:val="left" w:pos="1185"/>
        </w:tabs>
        <w:spacing w:before="3" w:after="0" w:line="240" w:lineRule="auto"/>
        <w:ind w:left="862" w:leftChars="0" w:right="0" w:rightChars="0"/>
        <w:jc w:val="left"/>
        <w:rPr>
          <w:sz w:val="32"/>
        </w:rPr>
      </w:pPr>
      <w:r>
        <w:rPr>
          <w:rFonts w:hint="eastAsia"/>
          <w:sz w:val="32"/>
          <w:lang w:eastAsia="zh-CN"/>
        </w:rPr>
        <w:t>（</w:t>
      </w:r>
      <w:r>
        <w:rPr>
          <w:rFonts w:hint="eastAsia"/>
          <w:sz w:val="32"/>
          <w:lang w:val="en-US" w:eastAsia="zh-CN"/>
        </w:rPr>
        <w:t>3）</w:t>
      </w:r>
      <w:r>
        <w:rPr>
          <w:sz w:val="32"/>
        </w:rPr>
        <w:t>成绩并列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 xml:space="preserve">按比赛成绩从高分到低分排列参赛选手的名次，最终 </w:t>
      </w:r>
      <w:r>
        <w:rPr>
          <w:spacing w:val="12"/>
          <w:w w:val="95"/>
        </w:rPr>
        <w:t xml:space="preserve">成绩出现两队（或多队）分数相同的情况，则以竞赛时间短为优先排序，如分数和比赛时间均相同情况下，以 </w:t>
      </w:r>
      <w:r>
        <w:rPr>
          <w:spacing w:val="12"/>
          <w:w w:val="95"/>
        </w:rPr>
        <w:t>“数控加工”、“3D</w:t>
      </w:r>
      <w:r>
        <w:rPr>
          <w:spacing w:val="12"/>
          <w:w w:val="95"/>
        </w:rPr>
        <w:t>打印”和“装配验证”中的工件质量和装配效果分数为优先排序。如果成绩仍然相 同则再依据任务“结构创新优化设计”的得分数排序。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9" w:firstLineChars="200"/>
        <w:jc w:val="both"/>
        <w:textAlignment w:val="auto"/>
        <w:rPr>
          <w:rFonts w:hint="eastAsia" w:ascii="黑体" w:hAnsi="黑体" w:eastAsia="黑体" w:cs="黑体"/>
          <w:b/>
          <w:bCs/>
          <w:spacing w:val="12"/>
          <w:w w:val="95"/>
        </w:rPr>
      </w:pPr>
      <w:r>
        <w:rPr>
          <w:rFonts w:hint="eastAsia" w:ascii="黑体" w:hAnsi="黑体" w:eastAsia="黑体" w:cs="黑体"/>
          <w:b/>
          <w:bCs/>
          <w:spacing w:val="12"/>
          <w:w w:val="95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spacing w:val="12"/>
          <w:w w:val="95"/>
        </w:rPr>
        <w:t>竞赛细则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9" w:firstLineChars="200"/>
        <w:jc w:val="both"/>
        <w:textAlignment w:val="auto"/>
        <w:rPr>
          <w:rFonts w:hint="eastAsia" w:ascii="黑体" w:hAnsi="黑体" w:eastAsia="黑体" w:cs="黑体"/>
          <w:spacing w:val="12"/>
          <w:w w:val="95"/>
        </w:rPr>
      </w:pPr>
      <w:r>
        <w:rPr>
          <w:rFonts w:hint="eastAsia" w:ascii="黑体" w:hAnsi="黑体" w:eastAsia="黑体" w:cs="黑体"/>
          <w:b/>
          <w:bCs/>
          <w:spacing w:val="12"/>
          <w:w w:val="95"/>
        </w:rPr>
        <w:t>（</w:t>
      </w:r>
      <w:r>
        <w:rPr>
          <w:rFonts w:hint="eastAsia" w:ascii="黑体" w:hAnsi="黑体" w:eastAsia="黑体" w:cs="黑体"/>
          <w:b/>
          <w:bCs/>
          <w:spacing w:val="12"/>
          <w:w w:val="95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spacing w:val="12"/>
          <w:w w:val="95"/>
        </w:rPr>
        <w:t>）选手职责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z w:val="32"/>
        </w:rPr>
      </w:pPr>
      <w:r>
        <w:rPr>
          <w:rFonts w:hint="eastAsia"/>
          <w:spacing w:val="12"/>
          <w:w w:val="95"/>
          <w:lang w:val="en-US" w:eastAsia="zh-CN"/>
        </w:rPr>
        <w:t>1.</w:t>
      </w:r>
      <w:r>
        <w:rPr>
          <w:spacing w:val="12"/>
          <w:w w:val="95"/>
        </w:rPr>
        <w:t>选手在操作机床时须遵守机床安全操作相关规定，注意操作安全</w:t>
      </w:r>
      <w:r>
        <w:rPr>
          <w:rFonts w:hint="eastAsia"/>
          <w:spacing w:val="12"/>
          <w:w w:val="95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2.</w:t>
      </w:r>
      <w:r>
        <w:rPr>
          <w:spacing w:val="12"/>
          <w:w w:val="95"/>
        </w:rPr>
        <w:t>选手在进入赛场操作机床时须穿绝缘鞋、做好防 滑、防砸及防穿刺。眼镜防护佩戴护目镜，戴眼镜也必须 佩戴，有防溅入措施，穿工作服。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3.操作者必须全面掌握本赛项所用机床操作使用说明 书的内容,熟悉本赛项所用机床的一般性能和结构，禁止超性能使用,如因操作不当导致设备损坏，依照原价赔偿或承担维修费、运费等相关费用。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4.禁止自带各种电子产品和存储类产品进入赛场。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5.正确使用各操作工具和测量工具，防止碰摔事故的 发生。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6.第一阶段操作时，严格按照扫描仪操作使用说明的 内容进行，严禁违规操作。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7.必须熟悉了解机床的安全保护措施和安全操作规 程，随时监控显示装置，发现报警信号时，停止加工并上报裁判。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/>
          <w:spacing w:val="12"/>
          <w:w w:val="95"/>
          <w:lang w:val="en-US" w:eastAsia="zh-CN"/>
        </w:rPr>
      </w:pPr>
      <w:r>
        <w:rPr>
          <w:rFonts w:hint="eastAsia"/>
          <w:spacing w:val="12"/>
          <w:w w:val="95"/>
          <w:lang w:val="en-US" w:eastAsia="zh-CN"/>
        </w:rPr>
        <w:t>8.为保证安全，参赛选手须按职业规范着装。女选手 严禁穿高跟鞋进入比赛场地，并须戴工作帽。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z w:val="32"/>
        </w:rPr>
      </w:pPr>
      <w:r>
        <w:rPr>
          <w:rFonts w:hint="eastAsia"/>
          <w:spacing w:val="12"/>
          <w:w w:val="95"/>
          <w:lang w:val="en-US" w:eastAsia="zh-CN"/>
        </w:rPr>
        <w:t>9.使用的工具应排列放置整齐，比赛过程中严格按照 要求使用。</w:t>
      </w:r>
    </w:p>
    <w:p>
      <w:pPr>
        <w:pStyle w:val="2"/>
        <w:spacing w:line="407" w:lineRule="exact"/>
        <w:rPr>
          <w:sz w:val="32"/>
        </w:rPr>
      </w:pP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lang w:val="en-US" w:eastAsia="zh-CN"/>
        </w:rPr>
        <w:t>二</w:t>
      </w:r>
      <w:r>
        <w:rPr>
          <w:rFonts w:hint="eastAsia" w:ascii="黑体" w:hAnsi="黑体" w:eastAsia="黑体" w:cs="黑体"/>
        </w:rPr>
        <w:t>）赛场纪律</w:t>
      </w:r>
    </w:p>
    <w:p>
      <w:pPr>
        <w:pStyle w:val="9"/>
        <w:numPr>
          <w:ilvl w:val="0"/>
          <w:numId w:val="3"/>
        </w:numPr>
        <w:tabs>
          <w:tab w:val="left" w:pos="1197"/>
        </w:tabs>
        <w:spacing w:before="149" w:after="0" w:line="328" w:lineRule="auto"/>
        <w:ind w:left="222" w:right="221" w:firstLine="640"/>
        <w:jc w:val="both"/>
        <w:rPr>
          <w:sz w:val="32"/>
        </w:rPr>
      </w:pPr>
      <w:r>
        <w:rPr>
          <w:spacing w:val="13"/>
          <w:w w:val="95"/>
          <w:sz w:val="32"/>
        </w:rPr>
        <w:t xml:space="preserve">选手在比赛期间及工作期间不得使用手机、照相、 </w:t>
      </w:r>
      <w:r>
        <w:rPr>
          <w:spacing w:val="3"/>
          <w:sz w:val="32"/>
        </w:rPr>
        <w:t xml:space="preserve">录像等通信和数据存储设备，不得携带非大赛提供的 </w:t>
      </w:r>
      <w:r>
        <w:rPr>
          <w:sz w:val="32"/>
        </w:rPr>
        <w:t>U</w:t>
      </w:r>
      <w:r>
        <w:rPr>
          <w:spacing w:val="-4"/>
          <w:sz w:val="32"/>
        </w:rPr>
        <w:t xml:space="preserve"> 盘或数据存储器材。</w:t>
      </w:r>
    </w:p>
    <w:p>
      <w:pPr>
        <w:pStyle w:val="9"/>
        <w:numPr>
          <w:ilvl w:val="0"/>
          <w:numId w:val="3"/>
        </w:numPr>
        <w:tabs>
          <w:tab w:val="left" w:pos="1197"/>
        </w:tabs>
        <w:spacing w:before="149" w:after="0" w:line="328" w:lineRule="auto"/>
        <w:ind w:left="222" w:leftChars="0" w:right="221" w:rightChars="0" w:firstLine="640" w:firstLineChars="0"/>
        <w:jc w:val="both"/>
        <w:rPr>
          <w:rFonts w:hint="eastAsia" w:eastAsia="仿宋"/>
          <w:spacing w:val="3"/>
          <w:sz w:val="32"/>
          <w:lang w:eastAsia="zh-CN"/>
        </w:rPr>
      </w:pPr>
      <w:r>
        <w:rPr>
          <w:spacing w:val="3"/>
          <w:sz w:val="32"/>
        </w:rPr>
        <w:t>正式比赛期间，选手有问题应及时向裁判员反映</w:t>
      </w:r>
      <w:r>
        <w:rPr>
          <w:rFonts w:hint="eastAsia"/>
          <w:spacing w:val="3"/>
          <w:sz w:val="32"/>
          <w:lang w:eastAsia="zh-CN"/>
        </w:rPr>
        <w:t>。</w:t>
      </w:r>
    </w:p>
    <w:p>
      <w:pPr>
        <w:pStyle w:val="9"/>
        <w:numPr>
          <w:ilvl w:val="0"/>
          <w:numId w:val="3"/>
        </w:numPr>
        <w:tabs>
          <w:tab w:val="left" w:pos="1197"/>
        </w:tabs>
        <w:spacing w:before="0" w:after="0" w:line="328" w:lineRule="auto"/>
        <w:ind w:left="222" w:right="221" w:firstLine="640"/>
        <w:jc w:val="both"/>
        <w:rPr>
          <w:sz w:val="32"/>
        </w:rPr>
      </w:pPr>
      <w:r>
        <w:rPr>
          <w:spacing w:val="3"/>
          <w:sz w:val="32"/>
        </w:rPr>
        <w:t>比赛结束铃声响起以后，选手应立即停止工作。选 手在3分钟之内必须把零件、图纸、U盘、草稿纸等一切加工文件提交给副裁判长，并签名确认。</w:t>
      </w:r>
      <w:r>
        <w:rPr>
          <w:rFonts w:hint="eastAsia"/>
          <w:spacing w:val="3"/>
          <w:sz w:val="32"/>
          <w:lang w:val="en-US" w:eastAsia="zh-CN"/>
        </w:rPr>
        <w:t>裁判员</w:t>
      </w:r>
      <w:r>
        <w:rPr>
          <w:spacing w:val="3"/>
          <w:sz w:val="32"/>
        </w:rPr>
        <w:t>做好加密、装箱和保存工作。</w:t>
      </w:r>
    </w:p>
    <w:p>
      <w:pPr>
        <w:pStyle w:val="9"/>
        <w:numPr>
          <w:ilvl w:val="0"/>
          <w:numId w:val="3"/>
        </w:numPr>
        <w:tabs>
          <w:tab w:val="left" w:pos="1197"/>
        </w:tabs>
        <w:spacing w:before="0" w:after="0" w:line="328" w:lineRule="auto"/>
        <w:ind w:left="222" w:right="221" w:firstLine="640"/>
        <w:jc w:val="both"/>
        <w:rPr>
          <w:sz w:val="32"/>
        </w:rPr>
      </w:pPr>
      <w:r>
        <w:rPr>
          <w:spacing w:val="13"/>
          <w:w w:val="95"/>
          <w:sz w:val="32"/>
        </w:rPr>
        <w:t xml:space="preserve">比赛期间因软件或硬件故障导致选手延时的，比赛 </w:t>
      </w:r>
      <w:r>
        <w:rPr>
          <w:spacing w:val="11"/>
          <w:w w:val="95"/>
          <w:sz w:val="32"/>
        </w:rPr>
        <w:t xml:space="preserve">工位会有延时记录及两名裁判员的签字，选手可以适当延 </w:t>
      </w:r>
      <w:r>
        <w:rPr>
          <w:spacing w:val="11"/>
          <w:sz w:val="32"/>
        </w:rPr>
        <w:t>长比赛时间。</w:t>
      </w:r>
    </w:p>
    <w:p>
      <w:pPr>
        <w:pStyle w:val="9"/>
        <w:numPr>
          <w:ilvl w:val="0"/>
          <w:numId w:val="3"/>
        </w:numPr>
        <w:tabs>
          <w:tab w:val="left" w:pos="1185"/>
        </w:tabs>
        <w:spacing w:before="0" w:after="0" w:line="405" w:lineRule="exact"/>
        <w:ind w:left="1184" w:right="0" w:hanging="322"/>
        <w:jc w:val="left"/>
        <w:rPr>
          <w:sz w:val="32"/>
        </w:rPr>
      </w:pPr>
      <w:r>
        <w:rPr>
          <w:sz w:val="32"/>
        </w:rPr>
        <w:t>参赛选手不得擅自修改数控系统内的参数。</w:t>
      </w:r>
    </w:p>
    <w:p>
      <w:pPr>
        <w:pStyle w:val="9"/>
        <w:numPr>
          <w:ilvl w:val="0"/>
          <w:numId w:val="3"/>
        </w:numPr>
        <w:tabs>
          <w:tab w:val="left" w:pos="1197"/>
        </w:tabs>
        <w:spacing w:before="149" w:after="0" w:line="328" w:lineRule="auto"/>
        <w:ind w:left="222" w:leftChars="0" w:right="221" w:rightChars="0" w:firstLine="640" w:firstLineChars="0"/>
        <w:jc w:val="both"/>
        <w:rPr>
          <w:spacing w:val="-1"/>
          <w:sz w:val="32"/>
        </w:rPr>
      </w:pPr>
      <w:r>
        <w:rPr>
          <w:spacing w:val="13"/>
          <w:w w:val="95"/>
          <w:sz w:val="32"/>
        </w:rPr>
        <w:t xml:space="preserve">参赛选手如果违反前述相关规定和组委会印发的竞 </w:t>
      </w:r>
      <w:r>
        <w:rPr>
          <w:spacing w:val="12"/>
          <w:w w:val="95"/>
          <w:sz w:val="32"/>
        </w:rPr>
        <w:t>赛技术规则，视违规程度，受到“罚去</w:t>
      </w:r>
      <w:r>
        <w:rPr>
          <w:spacing w:val="7"/>
          <w:w w:val="95"/>
          <w:sz w:val="32"/>
        </w:rPr>
        <w:t>10～20</w:t>
      </w:r>
      <w:r>
        <w:rPr>
          <w:spacing w:val="9"/>
          <w:w w:val="95"/>
          <w:sz w:val="32"/>
        </w:rPr>
        <w:t xml:space="preserve">分、不得进 </w:t>
      </w:r>
      <w:r>
        <w:rPr>
          <w:spacing w:val="6"/>
          <w:sz w:val="32"/>
        </w:rPr>
        <w:t xml:space="preserve">入前 </w:t>
      </w:r>
      <w:r>
        <w:rPr>
          <w:sz w:val="32"/>
        </w:rPr>
        <w:t>10</w:t>
      </w:r>
      <w:r>
        <w:rPr>
          <w:spacing w:val="-1"/>
          <w:sz w:val="32"/>
        </w:rPr>
        <w:t xml:space="preserve"> 名、取消竞赛资格”等不同级别的处罚。</w:t>
      </w:r>
    </w:p>
    <w:p>
      <w:pPr>
        <w:pStyle w:val="2"/>
        <w:spacing w:line="405" w:lineRule="exact"/>
      </w:pPr>
      <w:r>
        <w:t>（四）选手文明参赛要求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1.</w:t>
      </w:r>
      <w:r>
        <w:rPr>
          <w:spacing w:val="12"/>
          <w:w w:val="95"/>
        </w:rPr>
        <w:t>未经允许， 选手不得自带任何纸质资料和存储工具，如出现较严重的违规、违纪、舞弊等现象，经裁判组 裁定取消比赛成绩。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2.</w:t>
      </w:r>
      <w:r>
        <w:rPr>
          <w:spacing w:val="12"/>
          <w:w w:val="95"/>
        </w:rPr>
        <w:t>参赛选手必须将全部数据文件存储至计算机指定盘 符下，不按要求存储数据，导致数据丢失者，责任自负。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3.</w:t>
      </w:r>
      <w:r>
        <w:rPr>
          <w:spacing w:val="12"/>
          <w:w w:val="95"/>
        </w:rPr>
        <w:t>参赛选手的竞赛场次和工位号采取抽签的方式确 定，竞赛场次签在赛前领队会上抽取，工位签在赛前检录 时抽取。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rFonts w:hint="eastAsia"/>
          <w:spacing w:val="12"/>
          <w:w w:val="95"/>
          <w:lang w:val="en-US" w:eastAsia="zh-CN"/>
        </w:rPr>
        <w:t>4.</w:t>
      </w:r>
      <w:r>
        <w:rPr>
          <w:spacing w:val="12"/>
          <w:w w:val="95"/>
        </w:rPr>
        <w:t xml:space="preserve">实际操作竞赛，参赛选手在赛前 </w:t>
      </w:r>
      <w:r>
        <w:rPr>
          <w:rFonts w:hint="eastAsia"/>
          <w:spacing w:val="12"/>
          <w:w w:val="95"/>
          <w:lang w:val="en-US" w:eastAsia="zh-CN"/>
        </w:rPr>
        <w:t>30</w:t>
      </w:r>
      <w:r>
        <w:rPr>
          <w:spacing w:val="12"/>
          <w:w w:val="95"/>
        </w:rPr>
        <w:t xml:space="preserve"> 分钟，凭参赛</w:t>
      </w:r>
    </w:p>
    <w:p>
      <w:pPr>
        <w:pStyle w:val="3"/>
        <w:spacing w:before="29" w:line="328" w:lineRule="auto"/>
        <w:ind w:right="221" w:firstLine="0"/>
        <w:jc w:val="both"/>
        <w:rPr>
          <w:spacing w:val="-1"/>
          <w:sz w:val="32"/>
        </w:rPr>
      </w:pPr>
      <w:r>
        <w:rPr>
          <w:spacing w:val="12"/>
          <w:w w:val="95"/>
        </w:rPr>
        <w:t>证和身份证</w:t>
      </w:r>
      <w:r>
        <w:rPr>
          <w:spacing w:val="14"/>
          <w:w w:val="95"/>
        </w:rPr>
        <w:t>（</w:t>
      </w:r>
      <w:r>
        <w:rPr>
          <w:spacing w:val="12"/>
          <w:w w:val="95"/>
        </w:rPr>
        <w:t>证明必须齐全</w:t>
      </w:r>
      <w:r>
        <w:rPr>
          <w:spacing w:val="14"/>
          <w:w w:val="95"/>
        </w:rPr>
        <w:t>）</w:t>
      </w:r>
      <w:r>
        <w:rPr>
          <w:spacing w:val="11"/>
          <w:w w:val="95"/>
        </w:rPr>
        <w:t xml:space="preserve">进入赛场检录，经裁判抽取 </w:t>
      </w:r>
      <w:r>
        <w:rPr>
          <w:spacing w:val="2"/>
        </w:rPr>
        <w:t>赛位号后，由裁判长 进行安全教育，赛前</w:t>
      </w:r>
      <w:r>
        <w:rPr>
          <w:rFonts w:hint="eastAsia"/>
          <w:lang w:val="en-US" w:eastAsia="zh-CN"/>
        </w:rPr>
        <w:t>15</w:t>
      </w:r>
      <w:r>
        <w:rPr>
          <w:spacing w:val="3"/>
        </w:rPr>
        <w:t xml:space="preserve">分钟统一进入赛场，确认现场条件，赛前 </w:t>
      </w:r>
      <w:r>
        <w:t>5</w:t>
      </w:r>
      <w:r>
        <w:rPr>
          <w:spacing w:val="2"/>
        </w:rPr>
        <w:t xml:space="preserve"> 分钟在发卷区域统一领取赛题，裁判长宣布比赛开始后才可操作。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比赛过程中，选手不得修改机床参数。擅自修改机 床参数者一经发现取消比赛成绩。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比赛过程中，选手若需休息、饮水或去洗手间，一 律计算在比赛时间内。</w:t>
      </w:r>
    </w:p>
    <w:p>
      <w:pPr>
        <w:pStyle w:val="9"/>
        <w:widowControl w:val="0"/>
        <w:numPr>
          <w:numId w:val="0"/>
        </w:numPr>
        <w:tabs>
          <w:tab w:val="left" w:pos="1197"/>
        </w:tabs>
        <w:autoSpaceDE w:val="0"/>
        <w:autoSpaceDN w:val="0"/>
        <w:spacing w:before="149" w:after="0" w:line="328" w:lineRule="auto"/>
        <w:ind w:right="221" w:rightChars="0"/>
        <w:jc w:val="both"/>
        <w:rPr>
          <w:spacing w:val="-1"/>
          <w:sz w:val="32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-1"/>
          <w:sz w:val="32"/>
        </w:rPr>
      </w:pPr>
      <w:r>
        <w:rPr>
          <w:spacing w:val="12"/>
          <w:w w:val="95"/>
        </w:rPr>
        <w:t>比赛过程中，参赛选手须严格遵守相关安全操作规 程，禁止不安全操作和野蛮操作,确保人身及设备安全，并 接受裁判员的监督和警示，若因选手个人因素造成人身安 全事故和设备故障，不予延时，情节特别严重者，由大赛 裁判组视具体情况做出处理决定（最高至终止比赛），并 由裁判长上报大赛监督仲裁组；若因非选手个人因素造成 设备故障，由大赛裁判组视具体情况做出延时处理并由裁 判长上报大赛监督仲裁组。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如果选手提前完成任务，需原地等待，不得离开</w:t>
      </w:r>
      <w:r>
        <w:rPr>
          <w:rFonts w:hint="eastAsia"/>
          <w:spacing w:val="12"/>
          <w:w w:val="95"/>
          <w:lang w:val="en-US" w:eastAsia="zh-CN"/>
        </w:rPr>
        <w:t>赛</w:t>
      </w:r>
      <w:r>
        <w:rPr>
          <w:spacing w:val="12"/>
          <w:w w:val="95"/>
        </w:rPr>
        <w:t>场，直至本场比赛结束。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裁判长在比赛结束前 15 分钟对选手做出提示。裁判长宣布比赛结束后，选手应完成作品与数据文件的提交 并在登记簿上签字确认。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选手离开现场前，应清理现场，包括机床和工作台 及周边卫生并恢复计算机、3D 打印机、数控机床处于原始状态。经裁判员和现场工作人员确认后方可离开赛场。清理现场工作将在选手职业素养环节中进行评判。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spacing w:val="12"/>
          <w:w w:val="95"/>
        </w:rPr>
      </w:pPr>
      <w:r>
        <w:rPr>
          <w:spacing w:val="12"/>
          <w:w w:val="95"/>
        </w:rPr>
        <w:t>选手离开比赛场地时，不得将草稿纸考试数据文件 等与比赛相关的资料或物品带离比赛现场。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6" w:firstLineChars="200"/>
        <w:jc w:val="both"/>
        <w:textAlignment w:val="auto"/>
        <w:rPr>
          <w:rFonts w:hint="eastAsia" w:eastAsia="仿宋"/>
          <w:spacing w:val="-1"/>
          <w:sz w:val="32"/>
          <w:lang w:eastAsia="zh-CN"/>
        </w:rPr>
      </w:pPr>
      <w:r>
        <w:rPr>
          <w:spacing w:val="12"/>
          <w:w w:val="95"/>
        </w:rPr>
        <w:t>除现场裁判员和参赛选手外，其他人员不得进入比 赛区域。赛场安全员、设备和软件技术支持人员、工作人 员必须在指定区域等待，未经裁判长允许不得进入比赛区 域，候场选手不得进入赛场</w:t>
      </w:r>
      <w:r>
        <w:rPr>
          <w:rFonts w:hint="eastAsia"/>
          <w:spacing w:val="-1"/>
          <w:sz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line="329" w:lineRule="auto"/>
        <w:ind w:left="221" w:right="221" w:firstLine="659" w:firstLineChars="200"/>
        <w:jc w:val="both"/>
        <w:textAlignment w:val="auto"/>
        <w:rPr>
          <w:rFonts w:hint="eastAsia" w:ascii="黑体" w:hAnsi="黑体" w:eastAsia="黑体" w:cs="黑体"/>
          <w:b/>
          <w:bCs/>
          <w:spacing w:val="12"/>
          <w:w w:val="95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12"/>
          <w:w w:val="95"/>
          <w:lang w:val="en-US" w:eastAsia="zh-CN"/>
        </w:rPr>
        <w:t>选手自备清单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after="0" w:line="329" w:lineRule="auto"/>
        <w:ind w:right="221" w:rightChars="0"/>
        <w:jc w:val="both"/>
        <w:textAlignment w:val="auto"/>
        <w:rPr>
          <w:rFonts w:hint="default" w:ascii="黑体" w:hAnsi="黑体" w:eastAsia="黑体" w:cs="黑体"/>
          <w:b/>
          <w:bCs/>
          <w:spacing w:val="12"/>
          <w:w w:val="95"/>
          <w:lang w:val="en-US" w:eastAsia="zh-CN"/>
        </w:rPr>
      </w:pPr>
    </w:p>
    <w:tbl>
      <w:tblPr>
        <w:tblStyle w:val="6"/>
        <w:tblW w:w="0" w:type="auto"/>
        <w:tblInd w:w="2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3969"/>
        <w:gridCol w:w="1166"/>
        <w:gridCol w:w="22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50" w:type="dxa"/>
          </w:tcPr>
          <w:p>
            <w:pPr>
              <w:pStyle w:val="8"/>
              <w:spacing w:before="97"/>
              <w:ind w:left="192" w:right="182"/>
              <w:rPr>
                <w:b/>
                <w:sz w:val="21"/>
              </w:rPr>
            </w:pPr>
            <w:r>
              <w:rPr>
                <w:b/>
                <w:sz w:val="21"/>
              </w:rPr>
              <w:t>序号</w:t>
            </w:r>
          </w:p>
        </w:tc>
        <w:tc>
          <w:tcPr>
            <w:tcW w:w="3969" w:type="dxa"/>
          </w:tcPr>
          <w:p>
            <w:pPr>
              <w:pStyle w:val="8"/>
              <w:spacing w:before="97"/>
              <w:ind w:left="177" w:right="167"/>
              <w:rPr>
                <w:b/>
                <w:sz w:val="21"/>
              </w:rPr>
            </w:pPr>
            <w:r>
              <w:rPr>
                <w:b/>
                <w:sz w:val="21"/>
              </w:rPr>
              <w:t>设备名称</w:t>
            </w:r>
          </w:p>
        </w:tc>
        <w:tc>
          <w:tcPr>
            <w:tcW w:w="1166" w:type="dxa"/>
          </w:tcPr>
          <w:p>
            <w:pPr>
              <w:pStyle w:val="8"/>
              <w:spacing w:before="97"/>
              <w:ind w:left="247" w:right="236"/>
              <w:rPr>
                <w:b/>
                <w:sz w:val="21"/>
              </w:rPr>
            </w:pPr>
            <w:r>
              <w:rPr>
                <w:b/>
                <w:sz w:val="21"/>
              </w:rPr>
              <w:t>数量</w:t>
            </w:r>
          </w:p>
        </w:tc>
        <w:tc>
          <w:tcPr>
            <w:tcW w:w="2270" w:type="dxa"/>
          </w:tcPr>
          <w:p>
            <w:pPr>
              <w:pStyle w:val="8"/>
              <w:spacing w:before="97"/>
              <w:ind w:left="273" w:right="261"/>
              <w:rPr>
                <w:b/>
                <w:sz w:val="21"/>
              </w:rPr>
            </w:pPr>
            <w:r>
              <w:rPr>
                <w:b/>
                <w:sz w:val="21"/>
              </w:rPr>
              <w:t>技术规格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50" w:type="dxa"/>
          </w:tcPr>
          <w:p>
            <w:pPr>
              <w:pStyle w:val="8"/>
              <w:spacing w:before="121"/>
              <w:ind w:left="6"/>
              <w:rPr>
                <w:rFonts w:hint="eastAsia" w:eastAsia="宋体"/>
                <w:w w:val="99"/>
                <w:sz w:val="21"/>
                <w:lang w:val="en-US"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1</w:t>
            </w:r>
          </w:p>
        </w:tc>
        <w:tc>
          <w:tcPr>
            <w:tcW w:w="3969" w:type="dxa"/>
          </w:tcPr>
          <w:p>
            <w:pPr>
              <w:pStyle w:val="8"/>
              <w:spacing w:before="121"/>
              <w:ind w:left="177" w:right="172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刀具</w:t>
            </w:r>
          </w:p>
        </w:tc>
        <w:tc>
          <w:tcPr>
            <w:tcW w:w="1166" w:type="dxa"/>
          </w:tcPr>
          <w:p>
            <w:pPr>
              <w:pStyle w:val="8"/>
              <w:spacing w:before="121"/>
              <w:ind w:left="247" w:right="238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不限</w:t>
            </w:r>
          </w:p>
        </w:tc>
        <w:tc>
          <w:tcPr>
            <w:tcW w:w="2270" w:type="dxa"/>
          </w:tcPr>
          <w:p>
            <w:pPr>
              <w:pStyle w:val="8"/>
              <w:spacing w:before="121"/>
              <w:ind w:left="273" w:right="266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自定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850" w:type="dxa"/>
          </w:tcPr>
          <w:p>
            <w:pPr>
              <w:pStyle w:val="8"/>
              <w:spacing w:before="121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2</w:t>
            </w:r>
          </w:p>
        </w:tc>
        <w:tc>
          <w:tcPr>
            <w:tcW w:w="3969" w:type="dxa"/>
          </w:tcPr>
          <w:p>
            <w:pPr>
              <w:pStyle w:val="8"/>
              <w:spacing w:before="121"/>
              <w:ind w:left="177" w:right="172"/>
              <w:rPr>
                <w:sz w:val="21"/>
              </w:rPr>
            </w:pPr>
            <w:r>
              <w:rPr>
                <w:sz w:val="21"/>
              </w:rPr>
              <w:t>测量工具（结合样题毛坯尺寸自定）</w:t>
            </w:r>
          </w:p>
        </w:tc>
        <w:tc>
          <w:tcPr>
            <w:tcW w:w="1166" w:type="dxa"/>
          </w:tcPr>
          <w:p>
            <w:pPr>
              <w:pStyle w:val="8"/>
              <w:spacing w:before="121"/>
              <w:ind w:left="247" w:right="238"/>
              <w:rPr>
                <w:sz w:val="21"/>
              </w:rPr>
            </w:pPr>
            <w:r>
              <w:rPr>
                <w:sz w:val="21"/>
              </w:rPr>
              <w:t>1套/队</w:t>
            </w:r>
          </w:p>
        </w:tc>
        <w:tc>
          <w:tcPr>
            <w:tcW w:w="2270" w:type="dxa"/>
          </w:tcPr>
          <w:p>
            <w:pPr>
              <w:pStyle w:val="8"/>
              <w:spacing w:before="121"/>
              <w:ind w:left="273" w:right="266"/>
              <w:rPr>
                <w:sz w:val="21"/>
              </w:rPr>
            </w:pPr>
            <w:r>
              <w:rPr>
                <w:sz w:val="21"/>
              </w:rPr>
              <w:t>根据样题要求自备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50" w:type="dxa"/>
          </w:tcPr>
          <w:p>
            <w:pPr>
              <w:pStyle w:val="8"/>
              <w:spacing w:before="97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3</w:t>
            </w:r>
          </w:p>
        </w:tc>
        <w:tc>
          <w:tcPr>
            <w:tcW w:w="3969" w:type="dxa"/>
          </w:tcPr>
          <w:p>
            <w:pPr>
              <w:pStyle w:val="8"/>
              <w:spacing w:before="97"/>
              <w:ind w:left="177" w:right="172"/>
              <w:rPr>
                <w:sz w:val="21"/>
              </w:rPr>
            </w:pPr>
            <w:r>
              <w:rPr>
                <w:sz w:val="21"/>
              </w:rPr>
              <w:t>找正百分百及表座</w:t>
            </w:r>
          </w:p>
        </w:tc>
        <w:tc>
          <w:tcPr>
            <w:tcW w:w="1166" w:type="dxa"/>
          </w:tcPr>
          <w:p>
            <w:pPr>
              <w:pStyle w:val="8"/>
              <w:spacing w:before="97"/>
              <w:ind w:left="247" w:right="238"/>
              <w:rPr>
                <w:sz w:val="21"/>
              </w:rPr>
            </w:pPr>
            <w:r>
              <w:rPr>
                <w:sz w:val="21"/>
              </w:rPr>
              <w:t>1套/队</w:t>
            </w:r>
          </w:p>
        </w:tc>
        <w:tc>
          <w:tcPr>
            <w:tcW w:w="2270" w:type="dxa"/>
          </w:tcPr>
          <w:p>
            <w:pPr>
              <w:pStyle w:val="8"/>
              <w:spacing w:before="97"/>
              <w:ind w:left="273" w:right="266"/>
              <w:rPr>
                <w:sz w:val="21"/>
              </w:rPr>
            </w:pPr>
            <w:r>
              <w:rPr>
                <w:sz w:val="21"/>
              </w:rPr>
              <w:t>根据样题要求自备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50" w:type="dxa"/>
          </w:tcPr>
          <w:p>
            <w:pPr>
              <w:pStyle w:val="8"/>
              <w:spacing w:before="98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4</w:t>
            </w:r>
          </w:p>
        </w:tc>
        <w:tc>
          <w:tcPr>
            <w:tcW w:w="3969" w:type="dxa"/>
          </w:tcPr>
          <w:p>
            <w:pPr>
              <w:pStyle w:val="8"/>
              <w:spacing w:before="98"/>
              <w:ind w:left="177" w:right="169"/>
              <w:rPr>
                <w:sz w:val="21"/>
              </w:rPr>
            </w:pPr>
            <w:r>
              <w:rPr>
                <w:sz w:val="21"/>
              </w:rPr>
              <w:t>寻边器</w:t>
            </w:r>
          </w:p>
        </w:tc>
        <w:tc>
          <w:tcPr>
            <w:tcW w:w="1166" w:type="dxa"/>
          </w:tcPr>
          <w:p>
            <w:pPr>
              <w:pStyle w:val="8"/>
              <w:spacing w:before="98"/>
              <w:ind w:left="247" w:right="238"/>
              <w:rPr>
                <w:sz w:val="21"/>
              </w:rPr>
            </w:pPr>
            <w:r>
              <w:rPr>
                <w:sz w:val="21"/>
              </w:rPr>
              <w:t>1个/队</w:t>
            </w:r>
          </w:p>
        </w:tc>
        <w:tc>
          <w:tcPr>
            <w:tcW w:w="2270" w:type="dxa"/>
          </w:tcPr>
          <w:p>
            <w:pPr>
              <w:pStyle w:val="8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50" w:type="dxa"/>
          </w:tcPr>
          <w:p>
            <w:pPr>
              <w:pStyle w:val="8"/>
              <w:spacing w:before="96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5</w:t>
            </w:r>
          </w:p>
        </w:tc>
        <w:tc>
          <w:tcPr>
            <w:tcW w:w="3969" w:type="dxa"/>
          </w:tcPr>
          <w:p>
            <w:pPr>
              <w:pStyle w:val="8"/>
              <w:spacing w:before="96"/>
              <w:ind w:left="177" w:right="169"/>
              <w:rPr>
                <w:sz w:val="21"/>
              </w:rPr>
            </w:pPr>
            <w:r>
              <w:rPr>
                <w:sz w:val="21"/>
              </w:rPr>
              <w:t>护目镜</w:t>
            </w:r>
          </w:p>
        </w:tc>
        <w:tc>
          <w:tcPr>
            <w:tcW w:w="1166" w:type="dxa"/>
          </w:tcPr>
          <w:p>
            <w:pPr>
              <w:pStyle w:val="8"/>
              <w:spacing w:before="96"/>
              <w:ind w:left="247" w:right="238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1</w:t>
            </w:r>
            <w:r>
              <w:rPr>
                <w:sz w:val="21"/>
              </w:rPr>
              <w:t>个/队</w:t>
            </w:r>
          </w:p>
        </w:tc>
        <w:tc>
          <w:tcPr>
            <w:tcW w:w="2270" w:type="dxa"/>
          </w:tcPr>
          <w:p>
            <w:pPr>
              <w:pStyle w:val="8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50" w:type="dxa"/>
          </w:tcPr>
          <w:p>
            <w:pPr>
              <w:pStyle w:val="8"/>
              <w:spacing w:before="96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6</w:t>
            </w:r>
          </w:p>
        </w:tc>
        <w:tc>
          <w:tcPr>
            <w:tcW w:w="3969" w:type="dxa"/>
          </w:tcPr>
          <w:p>
            <w:pPr>
              <w:pStyle w:val="8"/>
              <w:spacing w:before="96"/>
              <w:ind w:left="177" w:right="172"/>
              <w:rPr>
                <w:sz w:val="21"/>
              </w:rPr>
            </w:pPr>
            <w:r>
              <w:rPr>
                <w:sz w:val="21"/>
              </w:rPr>
              <w:t>标准精密等高垫铁</w:t>
            </w:r>
          </w:p>
        </w:tc>
        <w:tc>
          <w:tcPr>
            <w:tcW w:w="1166" w:type="dxa"/>
          </w:tcPr>
          <w:p>
            <w:pPr>
              <w:pStyle w:val="8"/>
              <w:spacing w:before="96"/>
              <w:ind w:left="247" w:right="238"/>
              <w:rPr>
                <w:sz w:val="21"/>
              </w:rPr>
            </w:pPr>
            <w:r>
              <w:rPr>
                <w:sz w:val="21"/>
              </w:rPr>
              <w:t>1套/队</w:t>
            </w:r>
          </w:p>
        </w:tc>
        <w:tc>
          <w:tcPr>
            <w:tcW w:w="2270" w:type="dxa"/>
          </w:tcPr>
          <w:p>
            <w:pPr>
              <w:pStyle w:val="8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50" w:type="dxa"/>
          </w:tcPr>
          <w:p>
            <w:pPr>
              <w:pStyle w:val="8"/>
              <w:spacing w:before="97"/>
              <w:ind w:left="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9"/>
                <w:sz w:val="21"/>
                <w:lang w:val="en-US" w:eastAsia="zh-CN"/>
              </w:rPr>
              <w:t>7</w:t>
            </w:r>
          </w:p>
        </w:tc>
        <w:tc>
          <w:tcPr>
            <w:tcW w:w="3969" w:type="dxa"/>
          </w:tcPr>
          <w:p>
            <w:pPr>
              <w:pStyle w:val="8"/>
              <w:spacing w:before="97"/>
              <w:ind w:left="177" w:right="169"/>
              <w:rPr>
                <w:sz w:val="21"/>
              </w:rPr>
            </w:pPr>
            <w:r>
              <w:rPr>
                <w:sz w:val="21"/>
              </w:rPr>
              <w:t>签字笔</w:t>
            </w:r>
          </w:p>
        </w:tc>
        <w:tc>
          <w:tcPr>
            <w:tcW w:w="1166" w:type="dxa"/>
          </w:tcPr>
          <w:p>
            <w:pPr>
              <w:pStyle w:val="8"/>
              <w:spacing w:before="97"/>
              <w:ind w:left="247" w:right="238"/>
              <w:rPr>
                <w:sz w:val="21"/>
              </w:rPr>
            </w:pPr>
            <w:r>
              <w:rPr>
                <w:sz w:val="21"/>
              </w:rPr>
              <w:t>1支/队</w:t>
            </w:r>
          </w:p>
        </w:tc>
        <w:tc>
          <w:tcPr>
            <w:tcW w:w="2270" w:type="dxa"/>
          </w:tcPr>
          <w:p>
            <w:pPr>
              <w:pStyle w:val="8"/>
              <w:jc w:val="left"/>
              <w:rPr>
                <w:rFonts w:ascii="Times New Roman"/>
                <w:sz w:val="24"/>
              </w:rPr>
            </w:pPr>
          </w:p>
        </w:tc>
      </w:tr>
    </w:tbl>
    <w:p>
      <w:pPr>
        <w:pStyle w:val="3"/>
        <w:spacing w:line="405" w:lineRule="exact"/>
        <w:ind w:left="863" w:firstLine="0"/>
        <w:rPr>
          <w:rFonts w:hint="eastAsia" w:ascii="黑体" w:eastAsia="黑体"/>
        </w:rPr>
      </w:pPr>
      <w:r>
        <w:rPr>
          <w:rFonts w:hint="eastAsia" w:ascii="黑体" w:eastAsia="黑体"/>
        </w:rPr>
        <w:t>五、安全、健康要求</w:t>
      </w:r>
    </w:p>
    <w:p>
      <w:pPr>
        <w:pStyle w:val="3"/>
        <w:spacing w:before="149" w:line="328" w:lineRule="auto"/>
        <w:ind w:right="221"/>
        <w:jc w:val="both"/>
      </w:pPr>
      <w:r>
        <w:rPr>
          <w:rFonts w:hint="eastAsia"/>
          <w:spacing w:val="13"/>
          <w:w w:val="95"/>
          <w:lang w:val="en-US" w:eastAsia="zh-CN"/>
        </w:rPr>
        <w:t>参赛选手及相关人员参赛往返交通、食宿费用以及意外伤害保险自行承担。请各参赛队注意交通及食宿安全。选手做好人身防护，自备劳保用品，严禁携带有毒、 有害、易燃、易爆等物品。在参赛过程中， 遵守操作规范。</w:t>
      </w:r>
    </w:p>
    <w:p>
      <w:pPr>
        <w:pStyle w:val="3"/>
        <w:spacing w:line="405" w:lineRule="exact"/>
        <w:ind w:left="863" w:firstLine="0"/>
      </w:pPr>
      <w:r>
        <w:t>如果选手有如下违规情况，需要接受相应处罚。</w:t>
      </w:r>
    </w:p>
    <w:p>
      <w:pPr>
        <w:pStyle w:val="9"/>
        <w:numPr>
          <w:ilvl w:val="1"/>
          <w:numId w:val="6"/>
        </w:numPr>
        <w:tabs>
          <w:tab w:val="left" w:pos="1197"/>
        </w:tabs>
        <w:spacing w:before="151" w:after="0" w:line="326" w:lineRule="auto"/>
        <w:ind w:left="222" w:right="221" w:firstLine="640"/>
        <w:jc w:val="left"/>
        <w:rPr>
          <w:sz w:val="32"/>
        </w:rPr>
      </w:pPr>
      <w:r>
        <w:rPr>
          <w:spacing w:val="13"/>
          <w:w w:val="95"/>
          <w:sz w:val="32"/>
        </w:rPr>
        <w:t xml:space="preserve">因参赛队伍原因造成重大安全事故的，取消其获奖 </w:t>
      </w:r>
      <w:r>
        <w:rPr>
          <w:spacing w:val="13"/>
          <w:sz w:val="32"/>
        </w:rPr>
        <w:t>资格。</w:t>
      </w:r>
    </w:p>
    <w:p>
      <w:pPr>
        <w:pStyle w:val="9"/>
        <w:numPr>
          <w:ilvl w:val="1"/>
          <w:numId w:val="6"/>
        </w:numPr>
        <w:tabs>
          <w:tab w:val="left" w:pos="1197"/>
        </w:tabs>
        <w:spacing w:before="29" w:after="0" w:line="326" w:lineRule="auto"/>
        <w:ind w:left="222" w:right="221" w:firstLine="640"/>
        <w:jc w:val="left"/>
        <w:rPr>
          <w:sz w:val="32"/>
        </w:rPr>
      </w:pPr>
      <w:r>
        <w:rPr>
          <w:spacing w:val="13"/>
          <w:w w:val="95"/>
          <w:sz w:val="32"/>
        </w:rPr>
        <w:t xml:space="preserve">参赛队伍有发生重大安全事故隐患，经赛场工作人 </w:t>
      </w:r>
      <w:r>
        <w:rPr>
          <w:spacing w:val="13"/>
          <w:sz w:val="32"/>
        </w:rPr>
        <w:t>员提示、警告无效的，可取消其继续比赛的资格。</w:t>
      </w:r>
    </w:p>
    <w:p>
      <w:pPr>
        <w:pStyle w:val="9"/>
        <w:numPr>
          <w:ilvl w:val="1"/>
          <w:numId w:val="6"/>
        </w:numPr>
        <w:tabs>
          <w:tab w:val="left" w:pos="1197"/>
        </w:tabs>
        <w:spacing w:before="4" w:after="0" w:line="328" w:lineRule="auto"/>
        <w:ind w:left="222" w:right="221" w:firstLine="640"/>
        <w:jc w:val="both"/>
        <w:rPr>
          <w:sz w:val="32"/>
        </w:rPr>
      </w:pPr>
      <w:r>
        <w:rPr>
          <w:spacing w:val="13"/>
          <w:w w:val="95"/>
          <w:sz w:val="32"/>
        </w:rPr>
        <w:t xml:space="preserve">赛事工作人员违规的，按照相应的制度追究责任。 </w:t>
      </w:r>
      <w:r>
        <w:rPr>
          <w:spacing w:val="11"/>
          <w:w w:val="95"/>
          <w:sz w:val="32"/>
        </w:rPr>
        <w:t xml:space="preserve">情节恶劣并造成重大安全事故的，由司法机关追究相应法 </w:t>
      </w:r>
      <w:r>
        <w:rPr>
          <w:spacing w:val="11"/>
          <w:sz w:val="32"/>
        </w:rPr>
        <w:t>律责任。</w:t>
      </w:r>
    </w:p>
    <w:p>
      <w:pPr>
        <w:pStyle w:val="9"/>
        <w:numPr>
          <w:ilvl w:val="1"/>
          <w:numId w:val="6"/>
        </w:numPr>
        <w:tabs>
          <w:tab w:val="left" w:pos="1197"/>
        </w:tabs>
        <w:spacing w:before="0" w:after="0" w:line="328" w:lineRule="auto"/>
        <w:ind w:left="222" w:right="221" w:firstLine="640"/>
        <w:jc w:val="both"/>
        <w:rPr>
          <w:sz w:val="32"/>
        </w:rPr>
      </w:pPr>
      <w:r>
        <w:rPr>
          <w:spacing w:val="13"/>
          <w:w w:val="95"/>
          <w:sz w:val="32"/>
        </w:rPr>
        <w:t xml:space="preserve">裁判员对违反安全与健康条例、违反操作规程的选 </w:t>
      </w:r>
      <w:r>
        <w:rPr>
          <w:spacing w:val="11"/>
          <w:w w:val="95"/>
          <w:sz w:val="32"/>
        </w:rPr>
        <w:t xml:space="preserve">手和现象将提出警告并进行纠正。不听警告，不进行纠正 的参赛选手会受到不允许进入竞赛现场、罚去安全分、停 </w:t>
      </w:r>
      <w:r>
        <w:rPr>
          <w:spacing w:val="11"/>
          <w:sz w:val="32"/>
        </w:rPr>
        <w:t>止加工、取消竞赛资格等不同程度的惩罚。</w:t>
      </w:r>
    </w:p>
    <w:p>
      <w:pPr>
        <w:pStyle w:val="2"/>
        <w:spacing w:line="405" w:lineRule="exact"/>
      </w:pPr>
      <w:r>
        <w:t>（一）选手安全防护措施要求</w:t>
      </w:r>
    </w:p>
    <w:p>
      <w:pPr>
        <w:spacing w:after="0" w:line="326" w:lineRule="auto"/>
        <w:jc w:val="left"/>
        <w:rPr>
          <w:sz w:val="32"/>
        </w:rPr>
      </w:pPr>
    </w:p>
    <w:tbl>
      <w:tblPr>
        <w:tblStyle w:val="6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0"/>
        <w:gridCol w:w="3430"/>
        <w:gridCol w:w="28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1" w:hRule="atLeast"/>
        </w:trPr>
        <w:tc>
          <w:tcPr>
            <w:tcW w:w="2250" w:type="dxa"/>
          </w:tcPr>
          <w:p>
            <w:pPr>
              <w:pStyle w:val="8"/>
              <w:spacing w:before="100"/>
              <w:ind w:left="578" w:right="566"/>
              <w:rPr>
                <w:b/>
                <w:sz w:val="21"/>
              </w:rPr>
            </w:pPr>
            <w:r>
              <w:rPr>
                <w:b/>
                <w:sz w:val="21"/>
              </w:rPr>
              <w:t>防护项目</w:t>
            </w:r>
          </w:p>
        </w:tc>
        <w:tc>
          <w:tcPr>
            <w:tcW w:w="3430" w:type="dxa"/>
          </w:tcPr>
          <w:p>
            <w:pPr>
              <w:pStyle w:val="8"/>
              <w:spacing w:before="100"/>
              <w:ind w:left="1484" w:right="1474"/>
              <w:rPr>
                <w:b/>
                <w:sz w:val="21"/>
              </w:rPr>
            </w:pPr>
            <w:r>
              <w:rPr>
                <w:b/>
                <w:sz w:val="21"/>
              </w:rPr>
              <w:t>图示</w:t>
            </w:r>
          </w:p>
        </w:tc>
        <w:tc>
          <w:tcPr>
            <w:tcW w:w="2840" w:type="dxa"/>
          </w:tcPr>
          <w:p>
            <w:pPr>
              <w:pStyle w:val="8"/>
              <w:spacing w:before="100"/>
              <w:ind w:left="454" w:right="445"/>
              <w:rPr>
                <w:b/>
                <w:sz w:val="21"/>
              </w:rPr>
            </w:pPr>
            <w:r>
              <w:rPr>
                <w:b/>
                <w:sz w:val="21"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250" w:type="dxa"/>
          </w:tcPr>
          <w:p>
            <w:pPr>
              <w:pStyle w:val="8"/>
              <w:spacing w:before="9"/>
              <w:jc w:val="left"/>
              <w:rPr>
                <w:rFonts w:ascii="仿宋"/>
                <w:sz w:val="25"/>
              </w:rPr>
            </w:pPr>
          </w:p>
          <w:p>
            <w:pPr>
              <w:pStyle w:val="8"/>
              <w:ind w:left="578" w:right="571"/>
              <w:rPr>
                <w:sz w:val="21"/>
              </w:rPr>
            </w:pPr>
            <w:r>
              <w:rPr>
                <w:sz w:val="21"/>
              </w:rPr>
              <w:t>眼睛的防护</w:t>
            </w:r>
          </w:p>
        </w:tc>
        <w:tc>
          <w:tcPr>
            <w:tcW w:w="3430" w:type="dxa"/>
          </w:tcPr>
          <w:p>
            <w:pPr>
              <w:pStyle w:val="8"/>
              <w:ind w:left="778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1152525" cy="589280"/>
                  <wp:effectExtent l="0" t="0" r="5715" b="508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874" cy="58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>
            <w:pPr>
              <w:pStyle w:val="8"/>
              <w:jc w:val="left"/>
              <w:rPr>
                <w:rFonts w:ascii="仿宋"/>
                <w:sz w:val="15"/>
              </w:rPr>
            </w:pP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20"/>
              </w:tabs>
              <w:spacing w:before="1" w:after="0" w:line="240" w:lineRule="auto"/>
              <w:ind w:left="419" w:right="0" w:hanging="313"/>
              <w:jc w:val="left"/>
              <w:rPr>
                <w:sz w:val="21"/>
              </w:rPr>
            </w:pPr>
            <w:r>
              <w:rPr>
                <w:sz w:val="21"/>
              </w:rPr>
              <w:t>防溅入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20"/>
              </w:tabs>
              <w:spacing w:before="4" w:after="0" w:line="240" w:lineRule="auto"/>
              <w:ind w:left="419" w:right="0" w:hanging="313"/>
              <w:jc w:val="left"/>
              <w:rPr>
                <w:sz w:val="21"/>
              </w:rPr>
            </w:pPr>
            <w:r>
              <w:rPr>
                <w:sz w:val="21"/>
              </w:rPr>
              <w:t>带近视镜也必须佩戴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2250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7"/>
              <w:jc w:val="left"/>
              <w:rPr>
                <w:rFonts w:ascii="仿宋"/>
                <w:sz w:val="16"/>
              </w:rPr>
            </w:pPr>
          </w:p>
          <w:p>
            <w:pPr>
              <w:pStyle w:val="8"/>
              <w:ind w:left="578" w:right="571"/>
              <w:rPr>
                <w:sz w:val="21"/>
              </w:rPr>
            </w:pPr>
            <w:r>
              <w:rPr>
                <w:sz w:val="21"/>
              </w:rPr>
              <w:t>足部的防护</w:t>
            </w:r>
          </w:p>
        </w:tc>
        <w:tc>
          <w:tcPr>
            <w:tcW w:w="3430" w:type="dxa"/>
          </w:tcPr>
          <w:p>
            <w:pPr>
              <w:pStyle w:val="8"/>
              <w:spacing w:before="2"/>
              <w:jc w:val="left"/>
              <w:rPr>
                <w:rFonts w:ascii="仿宋"/>
                <w:sz w:val="8"/>
              </w:rPr>
            </w:pPr>
          </w:p>
          <w:p>
            <w:pPr>
              <w:pStyle w:val="8"/>
              <w:ind w:left="884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982980" cy="695960"/>
                  <wp:effectExtent l="0" t="0" r="7620" b="508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367" cy="696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7"/>
              <w:jc w:val="left"/>
              <w:rPr>
                <w:rFonts w:ascii="仿宋"/>
                <w:sz w:val="16"/>
              </w:rPr>
            </w:pPr>
          </w:p>
          <w:p>
            <w:pPr>
              <w:pStyle w:val="8"/>
              <w:ind w:left="454" w:right="445"/>
              <w:rPr>
                <w:sz w:val="21"/>
              </w:rPr>
            </w:pPr>
            <w:r>
              <w:rPr>
                <w:sz w:val="21"/>
              </w:rPr>
              <w:t>防滑、防砸、防穿刺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8" w:hRule="atLeast"/>
        </w:trPr>
        <w:tc>
          <w:tcPr>
            <w:tcW w:w="2250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134"/>
              <w:ind w:left="578" w:right="569"/>
              <w:rPr>
                <w:sz w:val="21"/>
              </w:rPr>
            </w:pPr>
            <w:r>
              <w:rPr>
                <w:sz w:val="21"/>
              </w:rPr>
              <w:t>工作服</w:t>
            </w:r>
          </w:p>
        </w:tc>
        <w:tc>
          <w:tcPr>
            <w:tcW w:w="3430" w:type="dxa"/>
          </w:tcPr>
          <w:p>
            <w:pPr>
              <w:pStyle w:val="8"/>
              <w:spacing w:before="2"/>
              <w:jc w:val="left"/>
              <w:rPr>
                <w:rFonts w:ascii="仿宋"/>
                <w:sz w:val="14"/>
              </w:rPr>
            </w:pPr>
          </w:p>
          <w:p>
            <w:pPr>
              <w:pStyle w:val="8"/>
              <w:ind w:left="1026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967740" cy="1195705"/>
                  <wp:effectExtent l="0" t="0" r="7620" b="8255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899" cy="1196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>
            <w:pPr>
              <w:pStyle w:val="8"/>
              <w:spacing w:before="5"/>
              <w:jc w:val="left"/>
              <w:rPr>
                <w:rFonts w:ascii="仿宋"/>
                <w:sz w:val="17"/>
              </w:rPr>
            </w:pP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20"/>
              </w:tabs>
              <w:spacing w:before="1" w:after="0" w:line="240" w:lineRule="auto"/>
              <w:ind w:left="419" w:right="0" w:hanging="313"/>
              <w:jc w:val="left"/>
              <w:rPr>
                <w:sz w:val="21"/>
              </w:rPr>
            </w:pPr>
            <w:r>
              <w:rPr>
                <w:sz w:val="21"/>
              </w:rPr>
              <w:t>必须是长裤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20"/>
              </w:tabs>
              <w:spacing w:before="2" w:after="0" w:line="242" w:lineRule="auto"/>
              <w:ind w:left="107" w:right="99" w:firstLine="0"/>
              <w:jc w:val="left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防护服必须紧身不松垮， </w:t>
            </w:r>
            <w:r>
              <w:rPr>
                <w:sz w:val="21"/>
              </w:rPr>
              <w:t>达到三紧 要求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20"/>
              </w:tabs>
              <w:spacing w:before="1" w:after="0" w:line="242" w:lineRule="auto"/>
              <w:ind w:left="107" w:right="99" w:firstLine="0"/>
              <w:jc w:val="left"/>
              <w:rPr>
                <w:sz w:val="21"/>
              </w:rPr>
            </w:pPr>
            <w:r>
              <w:rPr>
                <w:spacing w:val="-1"/>
                <w:sz w:val="21"/>
              </w:rPr>
              <w:t>女生必须带工作帽、长发</w:t>
            </w:r>
            <w:r>
              <w:rPr>
                <w:sz w:val="21"/>
              </w:rPr>
              <w:t>不得外露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20"/>
              </w:tabs>
              <w:spacing w:before="1" w:after="0" w:line="240" w:lineRule="auto"/>
              <w:ind w:left="419" w:right="0" w:hanging="313"/>
              <w:jc w:val="left"/>
              <w:rPr>
                <w:sz w:val="21"/>
              </w:rPr>
            </w:pPr>
            <w:r>
              <w:rPr>
                <w:sz w:val="21"/>
              </w:rPr>
              <w:t>操作机床时不允许戴手套</w:t>
            </w: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11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29" w:lineRule="auto"/>
        <w:ind w:left="0" w:leftChars="0" w:right="0" w:rightChars="0" w:firstLine="684" w:firstLineChars="200"/>
        <w:jc w:val="both"/>
        <w:textAlignment w:val="auto"/>
        <w:rPr>
          <w:rFonts w:hint="eastAsia"/>
          <w:spacing w:val="11"/>
          <w:sz w:val="32"/>
          <w:lang w:eastAsia="zh-CN"/>
        </w:rPr>
      </w:pPr>
      <w:r>
        <w:rPr>
          <w:rFonts w:hint="eastAsia"/>
          <w:spacing w:val="11"/>
          <w:sz w:val="32"/>
          <w:lang w:val="en-US" w:eastAsia="zh-CN"/>
        </w:rPr>
        <w:t>比</w:t>
      </w:r>
      <w:r>
        <w:rPr>
          <w:spacing w:val="11"/>
          <w:sz w:val="32"/>
        </w:rPr>
        <w:t>赛时，裁判员可对违反安全与健康条例、违反操作 规程的选手和现象将提出警告并进行纠正。不听警告，不 进行纠正的参赛选手会受到罚分、停止加工、直至取消竞 赛资格等不同程度的惩罚。选手防护装备佩带要求见</w:t>
      </w:r>
      <w:r>
        <w:rPr>
          <w:rFonts w:hint="eastAsia"/>
          <w:spacing w:val="11"/>
          <w:sz w:val="32"/>
          <w:lang w:val="en-US" w:eastAsia="zh-CN"/>
        </w:rPr>
        <w:t>下</w:t>
      </w:r>
      <w:r>
        <w:rPr>
          <w:spacing w:val="11"/>
          <w:sz w:val="32"/>
        </w:rPr>
        <w:t>表</w:t>
      </w:r>
      <w:r>
        <w:rPr>
          <w:rFonts w:hint="eastAsia"/>
          <w:spacing w:val="11"/>
          <w:sz w:val="32"/>
          <w:lang w:eastAsia="zh-CN"/>
        </w:rPr>
        <w:t>。</w:t>
      </w:r>
    </w:p>
    <w:tbl>
      <w:tblPr>
        <w:tblStyle w:val="6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5173"/>
        <w:gridCol w:w="19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388" w:type="dxa"/>
          </w:tcPr>
          <w:p>
            <w:pPr>
              <w:pStyle w:val="8"/>
              <w:spacing w:before="147"/>
              <w:ind w:left="149" w:right="139"/>
              <w:rPr>
                <w:b/>
                <w:sz w:val="21"/>
              </w:rPr>
            </w:pPr>
            <w:r>
              <w:rPr>
                <w:b/>
                <w:sz w:val="21"/>
              </w:rPr>
              <w:t>时段</w:t>
            </w:r>
          </w:p>
        </w:tc>
        <w:tc>
          <w:tcPr>
            <w:tcW w:w="5173" w:type="dxa"/>
          </w:tcPr>
          <w:p>
            <w:pPr>
              <w:pStyle w:val="8"/>
              <w:spacing w:before="147"/>
              <w:ind w:left="2355" w:right="2345"/>
              <w:rPr>
                <w:b/>
                <w:sz w:val="21"/>
              </w:rPr>
            </w:pPr>
            <w:r>
              <w:rPr>
                <w:b/>
                <w:sz w:val="21"/>
              </w:rPr>
              <w:t>要求</w:t>
            </w:r>
          </w:p>
        </w:tc>
        <w:tc>
          <w:tcPr>
            <w:tcW w:w="1959" w:type="dxa"/>
          </w:tcPr>
          <w:p>
            <w:pPr>
              <w:pStyle w:val="8"/>
              <w:spacing w:before="147"/>
              <w:ind w:left="746" w:right="740"/>
              <w:rPr>
                <w:b/>
                <w:sz w:val="21"/>
              </w:rPr>
            </w:pPr>
            <w:r>
              <w:rPr>
                <w:b/>
                <w:sz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388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9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ind w:left="149" w:right="139"/>
              <w:rPr>
                <w:sz w:val="21"/>
              </w:rPr>
            </w:pPr>
            <w:r>
              <w:rPr>
                <w:sz w:val="21"/>
              </w:rPr>
              <w:t>机床操作时</w:t>
            </w:r>
          </w:p>
        </w:tc>
        <w:tc>
          <w:tcPr>
            <w:tcW w:w="5173" w:type="dxa"/>
          </w:tcPr>
          <w:p>
            <w:pPr>
              <w:pStyle w:val="8"/>
              <w:ind w:left="214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2973705" cy="825500"/>
                  <wp:effectExtent l="0" t="0" r="13335" b="1270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4079" cy="826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129" w:line="244" w:lineRule="auto"/>
              <w:ind w:left="664" w:right="180" w:hanging="473"/>
              <w:jc w:val="left"/>
              <w:rPr>
                <w:sz w:val="21"/>
              </w:rPr>
            </w:pPr>
            <w:r>
              <w:rPr>
                <w:sz w:val="21"/>
              </w:rPr>
              <w:t>牛仔裤配紧身 上衣也可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1388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line="242" w:lineRule="auto"/>
              <w:ind w:left="589" w:right="157" w:hanging="420"/>
              <w:jc w:val="left"/>
              <w:rPr>
                <w:sz w:val="21"/>
              </w:rPr>
            </w:pPr>
            <w:r>
              <w:rPr>
                <w:sz w:val="21"/>
              </w:rPr>
              <w:t>拿取毛坯、手</w:t>
            </w:r>
          </w:p>
          <w:p>
            <w:pPr>
              <w:pStyle w:val="8"/>
              <w:spacing w:line="268" w:lineRule="exact"/>
              <w:ind w:left="169"/>
              <w:jc w:val="left"/>
              <w:rPr>
                <w:sz w:val="21"/>
              </w:rPr>
            </w:pPr>
            <w:r>
              <w:rPr>
                <w:sz w:val="21"/>
              </w:rPr>
              <w:t>工去毛刺时</w:t>
            </w:r>
          </w:p>
        </w:tc>
        <w:tc>
          <w:tcPr>
            <w:tcW w:w="5173" w:type="dxa"/>
          </w:tcPr>
          <w:p>
            <w:pPr>
              <w:pStyle w:val="8"/>
              <w:ind w:left="108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3073400" cy="830580"/>
                  <wp:effectExtent l="0" t="0" r="5080" b="762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8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3549" cy="830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135" w:line="244" w:lineRule="auto"/>
              <w:ind w:left="664" w:right="180" w:hanging="473"/>
              <w:jc w:val="left"/>
              <w:rPr>
                <w:sz w:val="21"/>
              </w:rPr>
            </w:pPr>
            <w:r>
              <w:rPr>
                <w:sz w:val="21"/>
              </w:rPr>
              <w:t>牛仔裤配紧身 上衣也可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388" w:type="dxa"/>
          </w:tcPr>
          <w:p>
            <w:pPr>
              <w:pStyle w:val="8"/>
              <w:jc w:val="left"/>
              <w:rPr>
                <w:rFonts w:ascii="仿宋"/>
                <w:sz w:val="20"/>
              </w:rPr>
            </w:pPr>
          </w:p>
          <w:p>
            <w:pPr>
              <w:pStyle w:val="8"/>
              <w:spacing w:before="8"/>
              <w:jc w:val="left"/>
              <w:rPr>
                <w:rFonts w:ascii="仿宋"/>
                <w:sz w:val="18"/>
              </w:rPr>
            </w:pPr>
          </w:p>
          <w:p>
            <w:pPr>
              <w:pStyle w:val="8"/>
              <w:ind w:left="146" w:right="139"/>
              <w:rPr>
                <w:sz w:val="21"/>
              </w:rPr>
            </w:pPr>
            <w:r>
              <w:rPr>
                <w:sz w:val="21"/>
              </w:rPr>
              <w:t>编程时</w:t>
            </w:r>
          </w:p>
        </w:tc>
        <w:tc>
          <w:tcPr>
            <w:tcW w:w="5173" w:type="dxa"/>
          </w:tcPr>
          <w:p>
            <w:pPr>
              <w:pStyle w:val="8"/>
              <w:ind w:left="1599"/>
              <w:jc w:val="left"/>
              <w:rPr>
                <w:rFonts w:ascii="仿宋"/>
                <w:sz w:val="20"/>
              </w:rPr>
            </w:pPr>
            <w:r>
              <w:rPr>
                <w:rFonts w:ascii="仿宋"/>
                <w:sz w:val="20"/>
              </w:rPr>
              <w:drawing>
                <wp:inline distT="0" distB="0" distL="0" distR="0">
                  <wp:extent cx="1212850" cy="791845"/>
                  <wp:effectExtent l="0" t="0" r="6350" b="635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68" cy="79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>
            <w:pPr>
              <w:pStyle w:val="8"/>
              <w:jc w:val="left"/>
              <w:rPr>
                <w:rFonts w:ascii="Times New Roman"/>
                <w:sz w:val="26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1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29" w:lineRule="auto"/>
        <w:ind w:left="221" w:leftChars="0" w:right="0" w:rightChars="0" w:firstLine="687" w:firstLineChars="200"/>
        <w:jc w:val="both"/>
        <w:textAlignment w:val="auto"/>
        <w:rPr>
          <w:rFonts w:hint="eastAsia" w:ascii="黑体" w:hAnsi="黑体" w:eastAsia="黑体" w:cs="黑体"/>
          <w:b/>
          <w:bCs/>
          <w:spacing w:val="11"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11"/>
          <w:sz w:val="32"/>
          <w:lang w:val="en-US" w:eastAsia="zh-CN"/>
        </w:rPr>
        <w:t>防疫防控</w:t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11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29" w:lineRule="auto"/>
        <w:ind w:right="0" w:rightChars="0" w:firstLine="684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11"/>
          <w:sz w:val="32"/>
          <w:lang w:val="en-US" w:eastAsia="zh-CN"/>
        </w:rPr>
        <w:sectPr>
          <w:footerReference r:id="rId5" w:type="default"/>
          <w:pgSz w:w="11910" w:h="16840"/>
          <w:pgMar w:top="1400" w:right="1580" w:bottom="1160" w:left="1580" w:header="0" w:footer="961" w:gutter="0"/>
          <w:pgNumType w:start="1"/>
          <w:cols w:space="720" w:num="1"/>
        </w:sectPr>
      </w:pPr>
      <w:r>
        <w:rPr>
          <w:rFonts w:hint="eastAsia" w:ascii="仿宋" w:hAnsi="仿宋" w:eastAsia="仿宋" w:cs="仿宋"/>
          <w:b w:val="0"/>
          <w:bCs w:val="0"/>
          <w:spacing w:val="11"/>
          <w:sz w:val="32"/>
          <w:lang w:val="en-US" w:eastAsia="zh-CN"/>
        </w:rPr>
        <w:t>为确保比赛安全顺利举办，各参赛单位要高度重视防疫防控工作，严格按疫情防指办要求做好参赛准备。请各参赛队人员，现场扫</w:t>
      </w:r>
      <w:r>
        <w:rPr>
          <w:rFonts w:hint="eastAsia" w:cs="仿宋"/>
          <w:b w:val="0"/>
          <w:bCs w:val="0"/>
          <w:spacing w:val="11"/>
          <w:sz w:val="32"/>
          <w:lang w:val="en-US" w:eastAsia="zh-CN"/>
        </w:rPr>
        <w:t>沧州</w:t>
      </w:r>
      <w:r>
        <w:rPr>
          <w:rFonts w:hint="eastAsia" w:ascii="仿宋" w:hAnsi="仿宋" w:eastAsia="仿宋" w:cs="仿宋"/>
          <w:b w:val="0"/>
          <w:bCs w:val="0"/>
          <w:spacing w:val="11"/>
          <w:sz w:val="32"/>
          <w:lang w:val="en-US" w:eastAsia="zh-CN"/>
        </w:rPr>
        <w:t>健康码为绿码，现场测温低于37.3°C方可入场。并确保近期没有发烧、咳嗽等异常症状。按防疫要求，进入密闭会场、赛场全程正确佩戴普通医用口罩。14天内有国内高风险等疫情重点地区旅居史和接触史、居住社区21天内发生疫情的人员，原则上不得参赛。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9" w:after="0" w:line="329" w:lineRule="auto"/>
        <w:ind w:right="221" w:rightChars="0"/>
        <w:jc w:val="both"/>
        <w:textAlignment w:val="auto"/>
        <w:rPr>
          <w:rFonts w:hint="default" w:ascii="黑体" w:hAnsi="黑体" w:eastAsia="黑体" w:cs="黑体"/>
          <w:b/>
          <w:bCs/>
          <w:spacing w:val="12"/>
          <w:w w:val="95"/>
          <w:lang w:val="en-US" w:eastAsia="zh-CN"/>
        </w:rPr>
        <w:sectPr>
          <w:pgSz w:w="11910" w:h="16840"/>
          <w:pgMar w:top="1540" w:right="1580" w:bottom="1160" w:left="1580" w:header="0" w:footer="961" w:gutter="0"/>
          <w:cols w:space="720" w:num="1"/>
        </w:sectPr>
      </w:pPr>
    </w:p>
    <w:p>
      <w:pPr>
        <w:pStyle w:val="3"/>
        <w:spacing w:before="149" w:line="326" w:lineRule="auto"/>
        <w:ind w:right="221"/>
      </w:pPr>
    </w:p>
    <w:p>
      <w:pPr>
        <w:spacing w:after="0" w:line="326" w:lineRule="auto"/>
        <w:sectPr>
          <w:pgSz w:w="11910" w:h="16840"/>
          <w:pgMar w:top="1540" w:right="1580" w:bottom="1160" w:left="1580" w:header="0" w:footer="961" w:gutter="0"/>
          <w:cols w:space="720" w:num="1"/>
        </w:sectPr>
      </w:pPr>
    </w:p>
    <w:p>
      <w:pPr>
        <w:pStyle w:val="3"/>
        <w:spacing w:before="149" w:line="328" w:lineRule="auto"/>
        <w:ind w:right="221"/>
        <w:jc w:val="both"/>
        <w:rPr>
          <w:rFonts w:hint="default"/>
          <w:w w:val="95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EB125"/>
    <w:multiLevelType w:val="multilevel"/>
    <w:tmpl w:val="8CAEB125"/>
    <w:lvl w:ilvl="0" w:tentative="0">
      <w:start w:val="1"/>
      <w:numFmt w:val="decimal"/>
      <w:lvlText w:val="(%1)"/>
      <w:lvlJc w:val="left"/>
      <w:pPr>
        <w:ind w:left="318" w:hanging="317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1"/>
      <w:numFmt w:val="decimal"/>
      <w:lvlText w:val="%2."/>
      <w:lvlJc w:val="left"/>
      <w:pPr>
        <w:ind w:left="222" w:hanging="334"/>
        <w:jc w:val="left"/>
      </w:pPr>
      <w:rPr>
        <w:rFonts w:hint="default" w:ascii="仿宋" w:hAnsi="仿宋" w:eastAsia="仿宋" w:cs="仿宋"/>
        <w:spacing w:val="1"/>
        <w:w w:val="99"/>
        <w:sz w:val="30"/>
        <w:szCs w:val="30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56" w:hanging="33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193" w:hanging="33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30" w:hanging="33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66" w:hanging="33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003" w:hanging="33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940" w:hanging="33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876" w:hanging="334"/>
      </w:pPr>
      <w:rPr>
        <w:rFonts w:hint="default"/>
        <w:lang w:val="zh-CN" w:eastAsia="zh-CN" w:bidi="zh-CN"/>
      </w:rPr>
    </w:lvl>
  </w:abstractNum>
  <w:abstractNum w:abstractNumId="1">
    <w:nsid w:val="B8CEF35B"/>
    <w:multiLevelType w:val="multilevel"/>
    <w:tmpl w:val="B8CEF35B"/>
    <w:lvl w:ilvl="0" w:tentative="0">
      <w:start w:val="1"/>
      <w:numFmt w:val="decimal"/>
      <w:lvlText w:val="%1."/>
      <w:lvlJc w:val="left"/>
      <w:pPr>
        <w:ind w:left="222" w:hanging="334"/>
        <w:jc w:val="left"/>
      </w:pPr>
      <w:rPr>
        <w:rFonts w:hint="default" w:ascii="仿宋" w:hAnsi="仿宋" w:eastAsia="仿宋" w:cs="仿宋"/>
        <w:spacing w:val="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73" w:hanging="33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6" w:hanging="33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79" w:hanging="33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32" w:hanging="33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5" w:hanging="33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38" w:hanging="33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1" w:hanging="33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44" w:hanging="334"/>
      </w:pPr>
      <w:rPr>
        <w:rFonts w:hint="default"/>
        <w:lang w:val="zh-CN" w:eastAsia="zh-CN" w:bidi="zh-CN"/>
      </w:rPr>
    </w:lvl>
  </w:abstractNum>
  <w:abstractNum w:abstractNumId="2">
    <w:nsid w:val="D519D165"/>
    <w:multiLevelType w:val="singleLevel"/>
    <w:tmpl w:val="D519D165"/>
    <w:lvl w:ilvl="0" w:tentative="0">
      <w:start w:val="2"/>
      <w:numFmt w:val="chineseCounting"/>
      <w:suff w:val="nothing"/>
      <w:lvlText w:val="（%1）"/>
      <w:lvlJc w:val="left"/>
      <w:pPr>
        <w:ind w:left="-423"/>
      </w:pPr>
      <w:rPr>
        <w:rFonts w:hint="eastAsia"/>
      </w:rPr>
    </w:lvl>
  </w:abstractNum>
  <w:abstractNum w:abstractNumId="3">
    <w:nsid w:val="E093A4B0"/>
    <w:multiLevelType w:val="multilevel"/>
    <w:tmpl w:val="E093A4B0"/>
    <w:lvl w:ilvl="0" w:tentative="0">
      <w:start w:val="1"/>
      <w:numFmt w:val="decimal"/>
      <w:lvlText w:val="（%1）"/>
      <w:lvlJc w:val="left"/>
      <w:pPr>
        <w:ind w:left="1663" w:hanging="800"/>
        <w:jc w:val="left"/>
      </w:pPr>
      <w:rPr>
        <w:rFonts w:hint="default" w:ascii="仿宋" w:hAnsi="仿宋" w:eastAsia="仿宋" w:cs="仿宋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69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78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87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96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05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14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23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32" w:hanging="800"/>
      </w:pPr>
      <w:rPr>
        <w:rFonts w:hint="default"/>
        <w:lang w:val="zh-CN" w:eastAsia="zh-CN" w:bidi="zh-CN"/>
      </w:rPr>
    </w:lvl>
  </w:abstractNum>
  <w:abstractNum w:abstractNumId="4">
    <w:nsid w:val="E4B876CC"/>
    <w:multiLevelType w:val="singleLevel"/>
    <w:tmpl w:val="E4B876C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7849D17"/>
    <w:multiLevelType w:val="singleLevel"/>
    <w:tmpl w:val="F7849D1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FFFB1A7"/>
    <w:multiLevelType w:val="multilevel"/>
    <w:tmpl w:val="5FFFB1A7"/>
    <w:lvl w:ilvl="0" w:tentative="0">
      <w:start w:val="1"/>
      <w:numFmt w:val="decimal"/>
      <w:lvlText w:val="%1."/>
      <w:lvlJc w:val="left"/>
      <w:pPr>
        <w:ind w:left="419" w:hanging="312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61" w:hanging="3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902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143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84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625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866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107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348" w:hanging="312"/>
      </w:pPr>
      <w:rPr>
        <w:rFonts w:hint="default"/>
        <w:lang w:val="zh-CN" w:eastAsia="zh-CN" w:bidi="zh-CN"/>
      </w:rPr>
    </w:lvl>
  </w:abstractNum>
  <w:abstractNum w:abstractNumId="7">
    <w:nsid w:val="74C28B35"/>
    <w:multiLevelType w:val="multilevel"/>
    <w:tmpl w:val="74C28B35"/>
    <w:lvl w:ilvl="0" w:tentative="0">
      <w:start w:val="1"/>
      <w:numFmt w:val="decimal"/>
      <w:lvlText w:val="%1."/>
      <w:lvlJc w:val="left"/>
      <w:pPr>
        <w:ind w:left="419" w:hanging="312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61" w:hanging="3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902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143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84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625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866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107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348" w:hanging="312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61340"/>
    <w:rsid w:val="4986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863"/>
      <w:outlineLvl w:val="1"/>
    </w:pPr>
    <w:rPr>
      <w:rFonts w:ascii="楷体" w:hAnsi="楷体" w:eastAsia="楷体" w:cs="楷体"/>
      <w:b/>
      <w:bCs/>
      <w:sz w:val="32"/>
      <w:szCs w:val="32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222" w:firstLine="64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  <w:style w:type="paragraph" w:styleId="9">
    <w:name w:val="List Paragraph"/>
    <w:basedOn w:val="1"/>
    <w:qFormat/>
    <w:uiPriority w:val="1"/>
    <w:pPr>
      <w:ind w:left="222" w:right="221" w:firstLine="640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2021-07-19T11:31:00Z</dcterms:created>
  <dc:creator>hjs</dc:creator>
  <cp:lastModifiedBy>hjs</cp:lastModifiedBy>
  <dcterms:modified xsi:type="dcterms:W3CDTF">2021-07-19T12:22:50Z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DC24B38FCD14483EBD4B0350ACE63823</vt:lpwstr>
  </property>
</Properties>
</file>